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 декабря 2005 года N 115-оз</w:t>
      </w:r>
      <w:r>
        <w:rPr>
          <w:rFonts w:ascii="Calibri" w:hAnsi="Calibri" w:cs="Calibri"/>
        </w:rPr>
        <w:br/>
      </w:r>
    </w:p>
    <w:p w:rsidR="001C373C" w:rsidRDefault="001C373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РОССИЙСКАЯ ФЕДЕРАЦИЯ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ЗАКОН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ХАНТЫ-МАНСИЙСКОГО АВТОНОМНОГО ОКРУГА - ЮГРЫ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МЕРАХ ПО ОБЕСПЕЧЕНИЮ ПРАВ ДЕТЕЙ-ИНВАЛИДОВ НА ВОСПИТАНИЕ,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ОБУЧЕНИЕ И ОБРАЗОВАНИЕ, ПРАВ ИНВАЛИДОВ НА ОБРАЗОВАНИЕ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И О КОМПЕНСАЦИИ ЗАТРАТ </w:t>
      </w:r>
      <w:proofErr w:type="gramStart"/>
      <w:r>
        <w:rPr>
          <w:rFonts w:ascii="Calibri" w:hAnsi="Calibri" w:cs="Calibri"/>
          <w:b/>
          <w:bCs/>
        </w:rPr>
        <w:t>МУНИЦИПАЛЬНЫМ</w:t>
      </w:r>
      <w:proofErr w:type="gramEnd"/>
      <w:r>
        <w:rPr>
          <w:rFonts w:ascii="Calibri" w:hAnsi="Calibri" w:cs="Calibri"/>
          <w:b/>
          <w:bCs/>
        </w:rPr>
        <w:t xml:space="preserve"> ДОШКОЛЬНЫМ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ОБРАЗОВАТЕЛЬНЫМ ОРГАНИЗАЦИЯМ, РЕАЛИЗУЮЩИМ </w:t>
      </w:r>
      <w:proofErr w:type="gramStart"/>
      <w:r>
        <w:rPr>
          <w:rFonts w:ascii="Calibri" w:hAnsi="Calibri" w:cs="Calibri"/>
          <w:b/>
          <w:bCs/>
        </w:rPr>
        <w:t>ОБРАЗОВАТЕЛЬНУЮ</w:t>
      </w:r>
      <w:proofErr w:type="gramEnd"/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ПРОГРАММУ ДОШКОЛЬНОГО ОБРАЗОВАНИЯ,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ЗА ПРИСМОТР И УХОД ЗА ДЕТЬМИ-ИНВАЛИДАМИ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ХАНТЫ-МАНСИЙСКОМ АВТОНОМНОМ ОКРУГЕ - ЮГРЕ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</w:t>
      </w:r>
      <w:proofErr w:type="gramEnd"/>
      <w:r>
        <w:rPr>
          <w:rFonts w:ascii="Calibri" w:hAnsi="Calibri" w:cs="Calibri"/>
        </w:rPr>
        <w:t xml:space="preserve"> Думой Ханты-Мансийского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автономного округа - Югры 22 ноября 2005 года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(в ред. Законов ХМАО - Югры</w:t>
      </w:r>
      <w:proofErr w:type="gramEnd"/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23.03.2007 </w:t>
      </w:r>
      <w:hyperlink r:id="rId4" w:history="1">
        <w:r>
          <w:rPr>
            <w:rFonts w:ascii="Calibri" w:hAnsi="Calibri" w:cs="Calibri"/>
            <w:color w:val="0000FF"/>
          </w:rPr>
          <w:t>N 14-оз</w:t>
        </w:r>
      </w:hyperlink>
      <w:r>
        <w:rPr>
          <w:rFonts w:ascii="Calibri" w:hAnsi="Calibri" w:cs="Calibri"/>
        </w:rPr>
        <w:t xml:space="preserve">, от 17.12.2009 </w:t>
      </w:r>
      <w:hyperlink r:id="rId5" w:history="1">
        <w:r>
          <w:rPr>
            <w:rFonts w:ascii="Calibri" w:hAnsi="Calibri" w:cs="Calibri"/>
            <w:color w:val="0000FF"/>
          </w:rPr>
          <w:t>N 231-оз</w:t>
        </w:r>
      </w:hyperlink>
      <w:r>
        <w:rPr>
          <w:rFonts w:ascii="Calibri" w:hAnsi="Calibri" w:cs="Calibri"/>
        </w:rPr>
        <w:t>,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08.04.2010 </w:t>
      </w:r>
      <w:hyperlink r:id="rId6" w:history="1">
        <w:r>
          <w:rPr>
            <w:rFonts w:ascii="Calibri" w:hAnsi="Calibri" w:cs="Calibri"/>
            <w:color w:val="0000FF"/>
          </w:rPr>
          <w:t>N 66-оз</w:t>
        </w:r>
      </w:hyperlink>
      <w:r>
        <w:rPr>
          <w:rFonts w:ascii="Calibri" w:hAnsi="Calibri" w:cs="Calibri"/>
        </w:rPr>
        <w:t xml:space="preserve">, от 16.12.2010 </w:t>
      </w:r>
      <w:hyperlink r:id="rId7" w:history="1">
        <w:r>
          <w:rPr>
            <w:rFonts w:ascii="Calibri" w:hAnsi="Calibri" w:cs="Calibri"/>
            <w:color w:val="0000FF"/>
          </w:rPr>
          <w:t>N 223-оз</w:t>
        </w:r>
      </w:hyperlink>
      <w:r>
        <w:rPr>
          <w:rFonts w:ascii="Calibri" w:hAnsi="Calibri" w:cs="Calibri"/>
        </w:rPr>
        <w:t>,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28.09.2012 </w:t>
      </w:r>
      <w:hyperlink r:id="rId8" w:history="1">
        <w:r>
          <w:rPr>
            <w:rFonts w:ascii="Calibri" w:hAnsi="Calibri" w:cs="Calibri"/>
            <w:color w:val="0000FF"/>
          </w:rPr>
          <w:t>N 91-оз</w:t>
        </w:r>
      </w:hyperlink>
      <w:r>
        <w:rPr>
          <w:rFonts w:ascii="Calibri" w:hAnsi="Calibri" w:cs="Calibri"/>
        </w:rPr>
        <w:t xml:space="preserve">, от 01.07.2013 </w:t>
      </w:r>
      <w:hyperlink r:id="rId9" w:history="1">
        <w:r>
          <w:rPr>
            <w:rFonts w:ascii="Calibri" w:hAnsi="Calibri" w:cs="Calibri"/>
            <w:color w:val="0000FF"/>
          </w:rPr>
          <w:t>N 64-оз</w:t>
        </w:r>
      </w:hyperlink>
      <w:r>
        <w:rPr>
          <w:rFonts w:ascii="Calibri" w:hAnsi="Calibri" w:cs="Calibri"/>
        </w:rPr>
        <w:t>,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30.09.2013 </w:t>
      </w:r>
      <w:hyperlink r:id="rId10" w:history="1">
        <w:r>
          <w:rPr>
            <w:rFonts w:ascii="Calibri" w:hAnsi="Calibri" w:cs="Calibri"/>
            <w:color w:val="0000FF"/>
          </w:rPr>
          <w:t>N 86-оз</w:t>
        </w:r>
      </w:hyperlink>
      <w:r>
        <w:rPr>
          <w:rFonts w:ascii="Calibri" w:hAnsi="Calibri" w:cs="Calibri"/>
        </w:rPr>
        <w:t xml:space="preserve">, от 24.10.2013 </w:t>
      </w:r>
      <w:hyperlink r:id="rId11" w:history="1">
        <w:r>
          <w:rPr>
            <w:rFonts w:ascii="Calibri" w:hAnsi="Calibri" w:cs="Calibri"/>
            <w:color w:val="0000FF"/>
          </w:rPr>
          <w:t>N 94-оз</w:t>
        </w:r>
      </w:hyperlink>
      <w:r>
        <w:rPr>
          <w:rFonts w:ascii="Calibri" w:hAnsi="Calibri" w:cs="Calibri"/>
        </w:rPr>
        <w:t>,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11.12.2013 </w:t>
      </w:r>
      <w:hyperlink r:id="rId12" w:history="1">
        <w:r>
          <w:rPr>
            <w:rFonts w:ascii="Calibri" w:hAnsi="Calibri" w:cs="Calibri"/>
            <w:color w:val="0000FF"/>
          </w:rPr>
          <w:t>N 124-оз</w:t>
        </w:r>
      </w:hyperlink>
      <w:r>
        <w:rPr>
          <w:rFonts w:ascii="Calibri" w:hAnsi="Calibri" w:cs="Calibri"/>
        </w:rPr>
        <w:t>,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с изм., </w:t>
      </w:r>
      <w:proofErr w:type="gramStart"/>
      <w:r>
        <w:rPr>
          <w:rFonts w:ascii="Calibri" w:hAnsi="Calibri" w:cs="Calibri"/>
        </w:rPr>
        <w:t>внесенными</w:t>
      </w:r>
      <w:proofErr w:type="gramEnd"/>
      <w:r>
        <w:rPr>
          <w:rFonts w:ascii="Calibri" w:hAnsi="Calibri" w:cs="Calibri"/>
        </w:rPr>
        <w:t xml:space="preserve"> </w:t>
      </w:r>
      <w:hyperlink r:id="rId1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ХМАО - Югры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 09.11.2012 N 130-оз)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0" w:name="Par29"/>
      <w:bookmarkEnd w:id="0"/>
      <w:r>
        <w:rPr>
          <w:rFonts w:ascii="Calibri" w:hAnsi="Calibri" w:cs="Calibri"/>
        </w:rPr>
        <w:t>Статья 1. Предмет регулирования настоящего Закона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ХМАО - Югры от 11.12.2013 N 124-оз)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Настоящий Закон в соответствии с федеральным законодательством регулирует вопросы обеспечения прав детей-инвалидов на воспитание, обучение и образование, прав инвалидов на образование, а также вопросы, связанные с компенсацией затрат муниципальным дошкольным образовательным организациям, реализующим образовательную программу дошкольного образования (далее - дошкольные образовательные организации), за присмотр и уход за детьми-инвалидами в Ханты-Мансийском автономном округе - Югре (далее также - автономный округ).</w:t>
      </w:r>
      <w:proofErr w:type="gramEnd"/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Заголовок исключен с 1 января 2014 года. -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hyperlink r:id="rId15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ХМАО - Югры от 11.12.2013 N 124-оз.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" w:name="Par38"/>
      <w:bookmarkEnd w:id="1"/>
      <w:r>
        <w:rPr>
          <w:rFonts w:ascii="Calibri" w:hAnsi="Calibri" w:cs="Calibri"/>
        </w:rPr>
        <w:t>Статья 2. Воспитание и обучение детей-инвалидов в дошкольных образовательных организациях и общеобразовательных организациях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Законов ХМАО - Югры от 01.07.2013 </w:t>
      </w:r>
      <w:hyperlink r:id="rId16" w:history="1">
        <w:r>
          <w:rPr>
            <w:rFonts w:ascii="Calibri" w:hAnsi="Calibri" w:cs="Calibri"/>
            <w:color w:val="0000FF"/>
          </w:rPr>
          <w:t>N 64-оз</w:t>
        </w:r>
      </w:hyperlink>
      <w:r>
        <w:rPr>
          <w:rFonts w:ascii="Calibri" w:hAnsi="Calibri" w:cs="Calibri"/>
        </w:rPr>
        <w:t xml:space="preserve">, от 11.12.2013 </w:t>
      </w:r>
      <w:hyperlink r:id="rId17" w:history="1">
        <w:r>
          <w:rPr>
            <w:rFonts w:ascii="Calibri" w:hAnsi="Calibri" w:cs="Calibri"/>
            <w:color w:val="0000FF"/>
          </w:rPr>
          <w:t>N 124-оз</w:t>
        </w:r>
      </w:hyperlink>
      <w:r>
        <w:rPr>
          <w:rFonts w:ascii="Calibri" w:hAnsi="Calibri" w:cs="Calibri"/>
        </w:rPr>
        <w:t>)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Детям-инвалидам создаются условия для пребывания в дошкольных образовательных организациях и получения образования в общеобразовательных организациях в соответствии с требованиями, установленными законодательством.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Законов ХМАО - Югры от 01.07.2013 </w:t>
      </w:r>
      <w:hyperlink r:id="rId18" w:history="1">
        <w:r>
          <w:rPr>
            <w:rFonts w:ascii="Calibri" w:hAnsi="Calibri" w:cs="Calibri"/>
            <w:color w:val="0000FF"/>
          </w:rPr>
          <w:t>N 64-оз</w:t>
        </w:r>
      </w:hyperlink>
      <w:r>
        <w:rPr>
          <w:rFonts w:ascii="Calibri" w:hAnsi="Calibri" w:cs="Calibri"/>
        </w:rPr>
        <w:t xml:space="preserve">, от 11.12.2013 </w:t>
      </w:r>
      <w:hyperlink r:id="rId19" w:history="1">
        <w:r>
          <w:rPr>
            <w:rFonts w:ascii="Calibri" w:hAnsi="Calibri" w:cs="Calibri"/>
            <w:color w:val="0000FF"/>
          </w:rPr>
          <w:t>N 124-оз</w:t>
        </w:r>
      </w:hyperlink>
      <w:r>
        <w:rPr>
          <w:rFonts w:ascii="Calibri" w:hAnsi="Calibri" w:cs="Calibri"/>
        </w:rPr>
        <w:t>)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Дошкольным образовательным организациям предоставляется компенсация затрат за присмотр и уход за детьми-инвалидами в размере, установленном настоящим Законом.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2 в ред. </w:t>
      </w:r>
      <w:hyperlink r:id="rId2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ХМАО - Югры от 11.12.2013 N 124-оз)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Правительством автономного округа по представлению органа управления образованием автономного округа могут быть установлены для образовательных организаций, находящихся в ведении автономного округа, дополнительные к федеральным требования к образовательным организациям в части строительных норм и правил, охраны здоровья обучающихся, воспитанников из числа детей-инвалидов, оснащенности образовательного процесса и оборудования учебных помещений для обучающихся, воспитанников из числа детей-инвалидов.</w:t>
      </w:r>
      <w:proofErr w:type="gramEnd"/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Законов ХМАО - Югры от 01.07.2013 </w:t>
      </w:r>
      <w:hyperlink r:id="rId21" w:history="1">
        <w:r>
          <w:rPr>
            <w:rFonts w:ascii="Calibri" w:hAnsi="Calibri" w:cs="Calibri"/>
            <w:color w:val="0000FF"/>
          </w:rPr>
          <w:t>N 64-оз</w:t>
        </w:r>
      </w:hyperlink>
      <w:r>
        <w:rPr>
          <w:rFonts w:ascii="Calibri" w:hAnsi="Calibri" w:cs="Calibri"/>
        </w:rPr>
        <w:t xml:space="preserve">, от 30.09.2013 </w:t>
      </w:r>
      <w:hyperlink r:id="rId22" w:history="1">
        <w:r>
          <w:rPr>
            <w:rFonts w:ascii="Calibri" w:hAnsi="Calibri" w:cs="Calibri"/>
            <w:color w:val="0000FF"/>
          </w:rPr>
          <w:t>N 86-оз</w:t>
        </w:r>
      </w:hyperlink>
      <w:r>
        <w:rPr>
          <w:rFonts w:ascii="Calibri" w:hAnsi="Calibri" w:cs="Calibri"/>
        </w:rPr>
        <w:t>)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При невозможности </w:t>
      </w:r>
      <w:proofErr w:type="gramStart"/>
      <w:r>
        <w:rPr>
          <w:rFonts w:ascii="Calibri" w:hAnsi="Calibri" w:cs="Calibri"/>
        </w:rPr>
        <w:t>обучения детей-инвалидов</w:t>
      </w:r>
      <w:proofErr w:type="gramEnd"/>
      <w:r>
        <w:rPr>
          <w:rFonts w:ascii="Calibri" w:hAnsi="Calibri" w:cs="Calibri"/>
        </w:rPr>
        <w:t xml:space="preserve"> по основным общеобразовательным программам в организациях, осуществляющих образовательную деятельность, органы управления образованием с согласия родителей (законных представителей) детей-инвалидов обеспечивают организацию обучения детей-инвалидов по основным общеобразовательным программам на дому.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Правительством автономного округа устанавливается порядок регламентации и оформления отношений государственных образовательных организаций автономного округа или образовательных организаций, находящихся в ведении органов местного самоуправления муниципальных образований автономного округа, и родителей (законных представителей) детей-инвалидов в части организации </w:t>
      </w:r>
      <w:proofErr w:type="gramStart"/>
      <w:r>
        <w:rPr>
          <w:rFonts w:ascii="Calibri" w:hAnsi="Calibri" w:cs="Calibri"/>
        </w:rPr>
        <w:t>обучения</w:t>
      </w:r>
      <w:proofErr w:type="gramEnd"/>
      <w:r>
        <w:rPr>
          <w:rFonts w:ascii="Calibri" w:hAnsi="Calibri" w:cs="Calibri"/>
        </w:rPr>
        <w:t xml:space="preserve"> по основным общеобразовательным программам на дому.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4 в ред. </w:t>
      </w:r>
      <w:hyperlink r:id="rId2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ХМАО - Югры от 11.12.2013 N 124-оз)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2" w:name="Par51"/>
      <w:bookmarkEnd w:id="2"/>
      <w:r>
        <w:rPr>
          <w:rFonts w:ascii="Calibri" w:hAnsi="Calibri" w:cs="Calibri"/>
        </w:rPr>
        <w:t>Статья 3. Компенсация затрат родителей (законных представителей) на воспитание, обучение и образование детей-инвалидов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ХМАО - Югры от 16.12.2010 N 223-оз)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55"/>
      <w:bookmarkEnd w:id="3"/>
      <w:r>
        <w:rPr>
          <w:rFonts w:ascii="Calibri" w:hAnsi="Calibri" w:cs="Calibri"/>
        </w:rPr>
        <w:t>1. Ежемесячная компенсация затрат родителей (законных представителей) на воспитание детей-инвалидов на дому устанавливается в размере 1970 рублей.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Ежемесячная компенсация затрат родителей (законных представителей) на воспитание детей-инвалидов на дому выплачивается родителям (законным представителям), ребенок (дети) которых в возрасте от 4 до 7 лет не посещает дошкольную образовательную организацию, а также родителям (законным представителям) необучаемого ребенка (детей) в возрасте от 7 до 18 лет.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2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ХМАО - Югры от 01.07.2013 N 64-оз)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58"/>
      <w:bookmarkEnd w:id="4"/>
      <w:r>
        <w:rPr>
          <w:rFonts w:ascii="Calibri" w:hAnsi="Calibri" w:cs="Calibri"/>
        </w:rPr>
        <w:t>2. Ежемесячная компенсация затрат родителей (законных представителей) на обучение на дому детей-инвалидов в возрасте от 6 до 18 лет, проживающих в сельских населенных пунктах, устанавливается в размере 9041 рубля.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59"/>
      <w:bookmarkEnd w:id="5"/>
      <w:r>
        <w:rPr>
          <w:rFonts w:ascii="Calibri" w:hAnsi="Calibri" w:cs="Calibri"/>
        </w:rPr>
        <w:t>3. Ежемесячная компенсация затрат родителей (законных представителей) на обучение на дому детей-инвалидов в возрасте от 6 до 18 лет, проживающих в городских населенных пунктах, устанавливается в размере 4813 рублей.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60"/>
      <w:bookmarkEnd w:id="6"/>
      <w:r>
        <w:rPr>
          <w:rFonts w:ascii="Calibri" w:hAnsi="Calibri" w:cs="Calibri"/>
        </w:rPr>
        <w:t>4. Ежегодная компенсация затрат родителей (законных представителей) на оплату услуг переводчиков-дактилологов устанавливается исходя из фактически понесенных расходов родителей (законных представителей) в текущем году, но не более 4973 рублей, подтвержденных договором, заключенным со специалистом либо соответствующей организацией (с приложением копии диплома установленного образца по специальностям сурдопедагог, тифлопедагог, дефектолог, учитель-логопед, логопед, сурдолог).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Единовременная компенсация затрат родителей (законных представителей) на подключение к сети Интернет для дистанционного обучения ребенка-инвалида в возрасте от 5 до 7 лет, а также ребенка-инвалида в возрасте от 6 до 18 лет, которому рекомендовано обучение на дому, устанавливается исходя из фактически понесенных расходов, но не более 100 рублей.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62"/>
      <w:bookmarkEnd w:id="7"/>
      <w:r>
        <w:rPr>
          <w:rFonts w:ascii="Calibri" w:hAnsi="Calibri" w:cs="Calibri"/>
        </w:rPr>
        <w:t xml:space="preserve">6. Ежемесячная компенсация затрат родителей (законных представителей) на оплату доступа к сети Интернет по безлимитному тарифу со скоростью не менее 512 кБ/с </w:t>
      </w:r>
      <w:proofErr w:type="gramStart"/>
      <w:r>
        <w:rPr>
          <w:rFonts w:ascii="Calibri" w:hAnsi="Calibri" w:cs="Calibri"/>
        </w:rPr>
        <w:t>с</w:t>
      </w:r>
      <w:proofErr w:type="gramEnd"/>
      <w:r>
        <w:rPr>
          <w:rFonts w:ascii="Calibri" w:hAnsi="Calibri" w:cs="Calibri"/>
        </w:rPr>
        <w:t xml:space="preserve"> применением контент-фильтрации при дистанционном обучении ребенка-инвалида в возрасте от 5 до 7 лет, а также ребенка-инвалида в возрасте с 6 до 18 лет, которому рекомендовано обучение на дому, устанавливается исходя из фактически понесенных расходов, но не более 1500 рублей.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7. Компенсации, установленные </w:t>
      </w:r>
      <w:hyperlink w:anchor="Par58" w:history="1">
        <w:r>
          <w:rPr>
            <w:rFonts w:ascii="Calibri" w:hAnsi="Calibri" w:cs="Calibri"/>
            <w:color w:val="0000FF"/>
          </w:rPr>
          <w:t>пунктами 2</w:t>
        </w:r>
      </w:hyperlink>
      <w:r>
        <w:rPr>
          <w:rFonts w:ascii="Calibri" w:hAnsi="Calibri" w:cs="Calibri"/>
        </w:rPr>
        <w:t xml:space="preserve">, </w:t>
      </w:r>
      <w:hyperlink w:anchor="Par59" w:history="1">
        <w:r>
          <w:rPr>
            <w:rFonts w:ascii="Calibri" w:hAnsi="Calibri" w:cs="Calibri"/>
            <w:color w:val="0000FF"/>
          </w:rPr>
          <w:t>3</w:t>
        </w:r>
      </w:hyperlink>
      <w:r>
        <w:rPr>
          <w:rFonts w:ascii="Calibri" w:hAnsi="Calibri" w:cs="Calibri"/>
        </w:rPr>
        <w:t xml:space="preserve">, </w:t>
      </w:r>
      <w:hyperlink w:anchor="Par62" w:history="1">
        <w:r>
          <w:rPr>
            <w:rFonts w:ascii="Calibri" w:hAnsi="Calibri" w:cs="Calibri"/>
            <w:color w:val="0000FF"/>
          </w:rPr>
          <w:t>6</w:t>
        </w:r>
      </w:hyperlink>
      <w:r>
        <w:rPr>
          <w:rFonts w:ascii="Calibri" w:hAnsi="Calibri" w:cs="Calibri"/>
        </w:rPr>
        <w:t xml:space="preserve"> настоящей статьи, выплачиваются в течение учебного года.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Компенсации, установленные </w:t>
      </w:r>
      <w:hyperlink w:anchor="Par55" w:history="1">
        <w:r>
          <w:rPr>
            <w:rFonts w:ascii="Calibri" w:hAnsi="Calibri" w:cs="Calibri"/>
            <w:color w:val="0000FF"/>
          </w:rPr>
          <w:t>пунктами 1</w:t>
        </w:r>
      </w:hyperlink>
      <w:r>
        <w:rPr>
          <w:rFonts w:ascii="Calibri" w:hAnsi="Calibri" w:cs="Calibri"/>
        </w:rPr>
        <w:t xml:space="preserve"> - </w:t>
      </w:r>
      <w:hyperlink w:anchor="Par60" w:history="1">
        <w:r>
          <w:rPr>
            <w:rFonts w:ascii="Calibri" w:hAnsi="Calibri" w:cs="Calibri"/>
            <w:color w:val="0000FF"/>
          </w:rPr>
          <w:t>4</w:t>
        </w:r>
      </w:hyperlink>
      <w:r>
        <w:rPr>
          <w:rFonts w:ascii="Calibri" w:hAnsi="Calibri" w:cs="Calibri"/>
        </w:rPr>
        <w:t xml:space="preserve"> настоящей статьи, выплачиваются на каждого ребенка-инвалида.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Порядок выплаты определенных настоящей статьей компенсаций затрат родителей (законных представителей) на воспитание, обучение и образование детей-инвалидов устанавливается Правительством автономного округа.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8" w:name="Par67"/>
      <w:bookmarkEnd w:id="8"/>
      <w:r>
        <w:rPr>
          <w:rFonts w:ascii="Calibri" w:hAnsi="Calibri" w:cs="Calibri"/>
        </w:rPr>
        <w:t>Статья 3.1. Компенсация затрат инвалидов и родителей (законных представителей) детей-инвалидов на получение профессионального образования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введена</w:t>
      </w:r>
      <w:proofErr w:type="gramEnd"/>
      <w:r>
        <w:rPr>
          <w:rFonts w:ascii="Calibri" w:hAnsi="Calibri" w:cs="Calibri"/>
        </w:rPr>
        <w:t xml:space="preserve"> </w:t>
      </w:r>
      <w:hyperlink r:id="rId2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ХМАО - Югры от 16.12.2010 N 223-оз)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Утратил силу. - </w:t>
      </w:r>
      <w:hyperlink r:id="rId27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ХМАО - Югры от 30.09.2013 N 86-оз.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Ежегодная компенсация затрат инвалидов и родителей (законных представителей) детей-инвалидов на приобретение специальных учебных пособий и литературы для обучающихся профессиональных образовательных организаций устанавливается в размере 3000 рублей.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Законов ХМАО - Югры от 01.07.2013 </w:t>
      </w:r>
      <w:hyperlink r:id="rId28" w:history="1">
        <w:r>
          <w:rPr>
            <w:rFonts w:ascii="Calibri" w:hAnsi="Calibri" w:cs="Calibri"/>
            <w:color w:val="0000FF"/>
          </w:rPr>
          <w:t>N 64-оз</w:t>
        </w:r>
      </w:hyperlink>
      <w:r>
        <w:rPr>
          <w:rFonts w:ascii="Calibri" w:hAnsi="Calibri" w:cs="Calibri"/>
        </w:rPr>
        <w:t xml:space="preserve">, от 30.09.2013 </w:t>
      </w:r>
      <w:hyperlink r:id="rId29" w:history="1">
        <w:r>
          <w:rPr>
            <w:rFonts w:ascii="Calibri" w:hAnsi="Calibri" w:cs="Calibri"/>
            <w:color w:val="0000FF"/>
          </w:rPr>
          <w:t>N 86-оз</w:t>
        </w:r>
      </w:hyperlink>
      <w:r>
        <w:rPr>
          <w:rFonts w:ascii="Calibri" w:hAnsi="Calibri" w:cs="Calibri"/>
        </w:rPr>
        <w:t>)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Ежегодная компенсация затрат инвалидов и родителей (законных представителей) детей-инвалидов на приобретение специальных учебных пособий и литературы для обучающихся образовательных организаций высшего образования, за исключением обучающихся в федеральных государственных образовательных организациях, устанавливается в размере 4800 рублей.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Законов ХМАО - Югры от 01.07.2013 </w:t>
      </w:r>
      <w:hyperlink r:id="rId30" w:history="1">
        <w:r>
          <w:rPr>
            <w:rFonts w:ascii="Calibri" w:hAnsi="Calibri" w:cs="Calibri"/>
            <w:color w:val="0000FF"/>
          </w:rPr>
          <w:t>N 64-оз</w:t>
        </w:r>
      </w:hyperlink>
      <w:r>
        <w:rPr>
          <w:rFonts w:ascii="Calibri" w:hAnsi="Calibri" w:cs="Calibri"/>
        </w:rPr>
        <w:t xml:space="preserve">, от 30.09.2013 </w:t>
      </w:r>
      <w:hyperlink r:id="rId31" w:history="1">
        <w:r>
          <w:rPr>
            <w:rFonts w:ascii="Calibri" w:hAnsi="Calibri" w:cs="Calibri"/>
            <w:color w:val="0000FF"/>
          </w:rPr>
          <w:t>N 86-оз</w:t>
        </w:r>
      </w:hyperlink>
      <w:r>
        <w:rPr>
          <w:rFonts w:ascii="Calibri" w:hAnsi="Calibri" w:cs="Calibri"/>
        </w:rPr>
        <w:t>)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Порядок выплаты определенных настоящей статьей компенсаций затрат инвалидов и родителей (законных представителей) детей-инвалидов на получение профессионального образования устанавливается Правительством автономного округа.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9" w:name="Par78"/>
      <w:bookmarkEnd w:id="9"/>
      <w:r>
        <w:rPr>
          <w:rFonts w:ascii="Calibri" w:hAnsi="Calibri" w:cs="Calibri"/>
        </w:rPr>
        <w:t>Статья 4. Компенсация затрат дошкольным образовательным организациям за присмотр и уход за детьми-инвалидами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ХМАО - Югры от 11.12.2013 N 124-оз)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ХМАО - Югры от 01.07.2013 N 64-оз)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Ежемесячная компенсация затрат дошкольным образовательным организациям за присмотр и уход за детьми-инвалидами устанавливается в размере 11118 рублей на каждого ребенка-инвалида.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 в ред. </w:t>
      </w:r>
      <w:hyperlink r:id="rId3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ХМАО - Югры от 11.12.2013 N 124-оз)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Утратил силу с 1 января 2014 года. - </w:t>
      </w:r>
      <w:hyperlink r:id="rId35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ХМАО - Югры от 11.12.2013 N 124-оз.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0" w:name="Par87"/>
      <w:bookmarkEnd w:id="10"/>
      <w:r>
        <w:rPr>
          <w:rFonts w:ascii="Calibri" w:hAnsi="Calibri" w:cs="Calibri"/>
        </w:rPr>
        <w:t>Статья 5. Финансирование расходов, связанных с реализацией настоящего Закона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Финансирование расходов, связанных с реализацией настоящего Закона в государственных организациях Ханты-Мансийского автономного округа - Югры, производится за счет средств бюджета автономного округа.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ХМАО - Югры от 01.07.2013 N 64-оз)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Софинансирование расходных обязательств местных бюджетов, возникающих при выполнении полномочий органов местного самоуправления по созданию условий для осуществления присмотра и ухода за детьми-инвалидами, осуществляется в виде предоставления субсидий за счет средств бюджета автономного округа в </w:t>
      </w:r>
      <w:hyperlink r:id="rId37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>, установленном Правительством автономного округа.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2 в ред. </w:t>
      </w:r>
      <w:hyperlink r:id="rId3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ХМАО - Югры от 11.12.2013 N 124-оз)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Утратил силу с 1 января 2013 года. - </w:t>
      </w:r>
      <w:hyperlink r:id="rId39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ХМАО - Югры от 28.09.2012 N 91-оз.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11" w:name="Par95"/>
      <w:bookmarkEnd w:id="11"/>
      <w:r>
        <w:rPr>
          <w:rFonts w:ascii="Calibri" w:hAnsi="Calibri" w:cs="Calibri"/>
          <w:b/>
          <w:bCs/>
        </w:rPr>
        <w:lastRenderedPageBreak/>
        <w:t>Глава 2. НАДЕЛЕНИЕ ОРГАНОВ МЕСТНОГО САМОУПРАВЛЕНИЯ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МУНИЦИПАЛЬНЫХ ОБРАЗОВАНИЙ АВТОНОМНОГО ОКРУГА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ОТДЕЛЬНЫМИ ГОСУДАРСТВЕННЫМИ ПОЛНОМОЧИЯМИ ПО ОБЕСПЕЧЕНИЮ ПРАВ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ДЕТЕЙ-ИНВАЛИДОВ НА ВОСПИТАНИЕ, ОБУЧЕНИЕ И ОБРАЗОВАНИЕ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Утратила силу с 1 января 2014 года. - </w:t>
      </w:r>
      <w:hyperlink r:id="rId40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ХМАО - Югры от 11.12.2013 N 124-оз.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Заголовок исключен с 1 января 2014 года. -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hyperlink r:id="rId41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ХМАО - Югры от 11.12.2013 N 124-оз.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12" w:name="Par105"/>
      <w:bookmarkEnd w:id="12"/>
      <w:r>
        <w:rPr>
          <w:rFonts w:ascii="Calibri" w:hAnsi="Calibri" w:cs="Calibri"/>
        </w:rPr>
        <w:t>Статья 14. Вступление в силу настоящего Закона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Настоящий Закон вступает в силу с 1 января 2006 года.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Губернатор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Ханты-Мансийского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автономного округа - Югры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А.В.ФИЛИПЕНКО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г. Ханты-Мансийск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 декабря 2005 года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 115-оз</w:t>
      </w: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C373C" w:rsidRDefault="001C37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C373C" w:rsidRDefault="001C373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B60D38" w:rsidRDefault="00B60D38"/>
    <w:sectPr w:rsidR="00B60D38" w:rsidSect="00F15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1C373C"/>
    <w:rsid w:val="001C373C"/>
    <w:rsid w:val="00B60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DC4C20D14365EB5F61B6ECE99447FFADB060F0A5222CDB1823F3C47BEE784679E9D3F841D6E539FF6F6656W6L" TargetMode="External"/><Relationship Id="rId13" Type="http://schemas.openxmlformats.org/officeDocument/2006/relationships/hyperlink" Target="consultantplus://offline/ref=21DC4C20D14365EB5F61B6ECE99447FFADB060F0A52524D91823F3C47BEE784679E9D3F841D6E539FF6E6356WCL" TargetMode="External"/><Relationship Id="rId18" Type="http://schemas.openxmlformats.org/officeDocument/2006/relationships/hyperlink" Target="consultantplus://offline/ref=21DC4C20D14365EB5F61B6ECE99447FFADB060F0A5212CD61023F3C47BEE784679E9D3F841D6E539FF6F6056WCL" TargetMode="External"/><Relationship Id="rId26" Type="http://schemas.openxmlformats.org/officeDocument/2006/relationships/hyperlink" Target="consultantplus://offline/ref=21DC4C20D14365EB5F61B6ECE99447FFADB060F0AA252CD81523F3C47BEE784679E9D3F841D6E539FF6F6656W3L" TargetMode="External"/><Relationship Id="rId39" Type="http://schemas.openxmlformats.org/officeDocument/2006/relationships/hyperlink" Target="consultantplus://offline/ref=21DC4C20D14365EB5F61B6ECE99447FFADB060F0A5222CDB1823F3C47BEE784679E9D3F841D6E539FF6F6656W6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1DC4C20D14365EB5F61B6ECE99447FFADB060F0A5212CD61023F3C47BEE784679E9D3F841D6E539FF6F6056WCL" TargetMode="External"/><Relationship Id="rId34" Type="http://schemas.openxmlformats.org/officeDocument/2006/relationships/hyperlink" Target="consultantplus://offline/ref=21DC4C20D14365EB5F61B6ECE99447FFADB060F0A5242EDC1723F3C47BEE784679E9D3F841D6E539FF6F6656W0L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21DC4C20D14365EB5F61B6ECE99447FFADB060F0AA252CD81523F3C47BEE784679E9D3F841D6E539FF6F6456W3L" TargetMode="External"/><Relationship Id="rId12" Type="http://schemas.openxmlformats.org/officeDocument/2006/relationships/hyperlink" Target="consultantplus://offline/ref=21DC4C20D14365EB5F61B6ECE99447FFADB060F0A5242EDC1723F3C47BEE784679E9D3F841D6E539FF6F6456W2L" TargetMode="External"/><Relationship Id="rId17" Type="http://schemas.openxmlformats.org/officeDocument/2006/relationships/hyperlink" Target="consultantplus://offline/ref=21DC4C20D14365EB5F61B6ECE99447FFADB060F0A5242EDC1723F3C47BEE784679E9D3F841D6E539FF6F6556W0L" TargetMode="External"/><Relationship Id="rId25" Type="http://schemas.openxmlformats.org/officeDocument/2006/relationships/hyperlink" Target="consultantplus://offline/ref=21DC4C20D14365EB5F61B6ECE99447FFADB060F0A5212CD61023F3C47BEE784679E9D3F841D6E539FF6F6056WCL" TargetMode="External"/><Relationship Id="rId33" Type="http://schemas.openxmlformats.org/officeDocument/2006/relationships/hyperlink" Target="consultantplus://offline/ref=21DC4C20D14365EB5F61B6ECE99447FFADB060F0A5212CD61023F3C47BEE784679E9D3F841D6E539FF6F6156W5L" TargetMode="External"/><Relationship Id="rId38" Type="http://schemas.openxmlformats.org/officeDocument/2006/relationships/hyperlink" Target="consultantplus://offline/ref=21DC4C20D14365EB5F61B6ECE99447FFADB060F0A5242EDC1723F3C47BEE784679E9D3F841D6E539FF6F6656WD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1DC4C20D14365EB5F61B6ECE99447FFADB060F0A5212CD61023F3C47BEE784679E9D3F841D6E539FF6F6056WCL" TargetMode="External"/><Relationship Id="rId20" Type="http://schemas.openxmlformats.org/officeDocument/2006/relationships/hyperlink" Target="consultantplus://offline/ref=21DC4C20D14365EB5F61B6ECE99447FFADB060F0A5242EDC1723F3C47BEE784679E9D3F841D6E539FF6F6556W2L" TargetMode="External"/><Relationship Id="rId29" Type="http://schemas.openxmlformats.org/officeDocument/2006/relationships/hyperlink" Target="consultantplus://offline/ref=21DC4C20D14365EB5F61B6ECE99447FFADB060F0A52325D81123F3C47BEE784679E9D3F841D6E539FF6E6556W2L" TargetMode="External"/><Relationship Id="rId41" Type="http://schemas.openxmlformats.org/officeDocument/2006/relationships/hyperlink" Target="consultantplus://offline/ref=21DC4C20D14365EB5F61B6ECE99447FFADB060F0A5242EDC1723F3C47BEE784679E9D3F841D6E539FF6F6756W4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1DC4C20D14365EB5F61B6ECE99447FFADB060F0A4222EDB1623F3C47BEE784679E9D3F841D6E539FF6F6556W4L" TargetMode="External"/><Relationship Id="rId11" Type="http://schemas.openxmlformats.org/officeDocument/2006/relationships/hyperlink" Target="consultantplus://offline/ref=21DC4C20D14365EB5F61B6ECE99447FFADB060F0A5242FDC1923F3C47BEE784679E9D3F841D6E539FF6F6456W2L" TargetMode="External"/><Relationship Id="rId24" Type="http://schemas.openxmlformats.org/officeDocument/2006/relationships/hyperlink" Target="consultantplus://offline/ref=21DC4C20D14365EB5F61B6ECE99447FFADB060F0AA252CD81523F3C47BEE784679E9D3F841D6E539FF6F6556W1L" TargetMode="External"/><Relationship Id="rId32" Type="http://schemas.openxmlformats.org/officeDocument/2006/relationships/hyperlink" Target="consultantplus://offline/ref=21DC4C20D14365EB5F61B6ECE99447FFADB060F0A5242EDC1723F3C47BEE784679E9D3F841D6E539FF6F6656W6L" TargetMode="External"/><Relationship Id="rId37" Type="http://schemas.openxmlformats.org/officeDocument/2006/relationships/hyperlink" Target="consultantplus://offline/ref=21DC4C20D14365EB5F61B6ECE99447FFADB060F0A52424D91323F3C47BEE784679E9D3F841D6E539FF6F6556W1L" TargetMode="External"/><Relationship Id="rId40" Type="http://schemas.openxmlformats.org/officeDocument/2006/relationships/hyperlink" Target="consultantplus://offline/ref=21DC4C20D14365EB5F61B6ECE99447FFADB060F0A5242EDC1723F3C47BEE784679E9D3F841D6E539FF6F6756W5L" TargetMode="External"/><Relationship Id="rId5" Type="http://schemas.openxmlformats.org/officeDocument/2006/relationships/hyperlink" Target="consultantplus://offline/ref=21DC4C20D14365EB5F61B6ECE99447FFADB060F0A92428DA1923F3C47BEE784679E9D3F841D6E539FF6F6456W3L" TargetMode="External"/><Relationship Id="rId15" Type="http://schemas.openxmlformats.org/officeDocument/2006/relationships/hyperlink" Target="consultantplus://offline/ref=21DC4C20D14365EB5F61B6ECE99447FFADB060F0A5242EDC1723F3C47BEE784679E9D3F841D6E539FF6F6556W6L" TargetMode="External"/><Relationship Id="rId23" Type="http://schemas.openxmlformats.org/officeDocument/2006/relationships/hyperlink" Target="consultantplus://offline/ref=21DC4C20D14365EB5F61B6ECE99447FFADB060F0A5242EDC1723F3C47BEE784679E9D3F841D6E539FF6F6556WCL" TargetMode="External"/><Relationship Id="rId28" Type="http://schemas.openxmlformats.org/officeDocument/2006/relationships/hyperlink" Target="consultantplus://offline/ref=21DC4C20D14365EB5F61B6ECE99447FFADB060F0A5212CD61023F3C47BEE784679E9D3F841D6E539FF6F6056WCL" TargetMode="External"/><Relationship Id="rId36" Type="http://schemas.openxmlformats.org/officeDocument/2006/relationships/hyperlink" Target="consultantplus://offline/ref=21DC4C20D14365EB5F61B6ECE99447FFADB060F0A5212CD61023F3C47BEE784679E9D3F841D6E539FF6F6056WCL" TargetMode="External"/><Relationship Id="rId10" Type="http://schemas.openxmlformats.org/officeDocument/2006/relationships/hyperlink" Target="consultantplus://offline/ref=21DC4C20D14365EB5F61B6ECE99447FFADB060F0A52325D81123F3C47BEE784679E9D3F841D6E539FF6E6556W6L" TargetMode="External"/><Relationship Id="rId19" Type="http://schemas.openxmlformats.org/officeDocument/2006/relationships/hyperlink" Target="consultantplus://offline/ref=21DC4C20D14365EB5F61B6ECE99447FFADB060F0A5242EDC1723F3C47BEE784679E9D3F841D6E539FF6F6556W3L" TargetMode="External"/><Relationship Id="rId31" Type="http://schemas.openxmlformats.org/officeDocument/2006/relationships/hyperlink" Target="consultantplus://offline/ref=21DC4C20D14365EB5F61B6ECE99447FFADB060F0A52325D81123F3C47BEE784679E9D3F841D6E539FF6E6556WDL" TargetMode="External"/><Relationship Id="rId4" Type="http://schemas.openxmlformats.org/officeDocument/2006/relationships/hyperlink" Target="consultantplus://offline/ref=21DC4C20D14365EB5F61B6ECE99447FFADB060F0AF272FDE1123F3C47BEE784679E9D3F841D6E539FF6F6456W3L" TargetMode="External"/><Relationship Id="rId9" Type="http://schemas.openxmlformats.org/officeDocument/2006/relationships/hyperlink" Target="consultantplus://offline/ref=21DC4C20D14365EB5F61B6ECE99447FFADB060F0A5212CD61023F3C47BEE784679E9D3F841D6E539FF6F6056WDL" TargetMode="External"/><Relationship Id="rId14" Type="http://schemas.openxmlformats.org/officeDocument/2006/relationships/hyperlink" Target="consultantplus://offline/ref=21DC4C20D14365EB5F61B6ECE99447FFADB060F0A5242EDC1723F3C47BEE784679E9D3F841D6E539FF6F6556W5L" TargetMode="External"/><Relationship Id="rId22" Type="http://schemas.openxmlformats.org/officeDocument/2006/relationships/hyperlink" Target="consultantplus://offline/ref=21DC4C20D14365EB5F61B6ECE99447FFADB060F0A52325D81123F3C47BEE784679E9D3F841D6E539FF6E6556W1L" TargetMode="External"/><Relationship Id="rId27" Type="http://schemas.openxmlformats.org/officeDocument/2006/relationships/hyperlink" Target="consultantplus://offline/ref=21DC4C20D14365EB5F61B6ECE99447FFADB060F0A52325D81123F3C47BEE784679E9D3F841D6E539FF6E6556W3L" TargetMode="External"/><Relationship Id="rId30" Type="http://schemas.openxmlformats.org/officeDocument/2006/relationships/hyperlink" Target="consultantplus://offline/ref=21DC4C20D14365EB5F61B6ECE99447FFADB060F0A5212CD61023F3C47BEE784679E9D3F841D6E539FF6F6056WCL" TargetMode="External"/><Relationship Id="rId35" Type="http://schemas.openxmlformats.org/officeDocument/2006/relationships/hyperlink" Target="consultantplus://offline/ref=21DC4C20D14365EB5F61B6ECE99447FFADB060F0A5242EDC1723F3C47BEE784679E9D3F841D6E539FF6F6656W2L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2222</Words>
  <Characters>12670</Characters>
  <Application>Microsoft Office Word</Application>
  <DocSecurity>0</DocSecurity>
  <Lines>105</Lines>
  <Paragraphs>29</Paragraphs>
  <ScaleCrop>false</ScaleCrop>
  <Company/>
  <LinksUpToDate>false</LinksUpToDate>
  <CharactersWithSpaces>14863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Житинская МН</dc:creator>
  <cp:keywords/>
  <dc:description/>
  <cp:lastModifiedBy>Житинская МН</cp:lastModifiedBy>
  <cp:revision>1</cp:revision>
  <dcterms:created xsi:type="dcterms:W3CDTF">2014-01-28T11:22:00Z</dcterms:created>
  <dcterms:modified xsi:type="dcterms:W3CDTF">2014-01-28T11:24:00Z</dcterms:modified>
</cp:coreProperties>
</file>