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>Положение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</w:rPr>
        <w:t xml:space="preserve">о проведении </w:t>
      </w:r>
      <w:r>
        <w:rPr>
          <w:rFonts w:eastAsia="Calibri"/>
          <w:b/>
          <w:color w:val="000000"/>
          <w:lang w:eastAsia="en-US"/>
        </w:rPr>
        <w:t>литературного конкурса «Нижневартовск – гармония в многообразии»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среди обучающихся общеобразовательных организаций, подведомственных 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департаменту образования администрации города Нижневартовска, </w:t>
      </w:r>
      <w:r>
        <w:rPr>
          <w:rFonts w:eastAsia="Calibri"/>
          <w:b/>
        </w:rPr>
        <w:t>в 2024 году</w:t>
      </w:r>
    </w:p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numPr>
          <w:ilvl w:val="0"/>
          <w:numId w:val="5"/>
        </w:numPr>
        <w:ind w:left="0" w:hanging="0"/>
        <w:jc w:val="center"/>
        <w:rPr>
          <w:rFonts w:eastAsia="Calibri"/>
          <w:b/>
        </w:rPr>
      </w:pPr>
      <w:r>
        <w:rPr>
          <w:rFonts w:eastAsia="Calibri"/>
          <w:b/>
        </w:rPr>
        <w:t>Общие положения</w:t>
      </w:r>
    </w:p>
    <w:p>
      <w:pPr>
        <w:pStyle w:val="Normal"/>
        <w:ind w:right="141" w:hanging="0"/>
        <w:jc w:val="both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1.1.</w:t>
        <w:tab/>
        <w:t>Настоящее положение определяет цель, задачи, категорию участников</w:t>
      </w:r>
      <w:r>
        <w:rPr>
          <w:rFonts w:eastAsia="Calibri"/>
          <w:lang w:eastAsia="en-US"/>
        </w:rPr>
        <w:t xml:space="preserve"> литературного конкурса «Нижневартовск – гармония в многообразии» </w:t>
      </w:r>
      <w:r>
        <w:rPr>
          <w:rFonts w:eastAsia="Calibri"/>
          <w:color w:val="000000"/>
          <w:lang w:eastAsia="en-US"/>
        </w:rPr>
        <w:t>среди обучающихся общеобразовательных организаций, подведомственных департаменту образования администрации города Нижневартовска,</w:t>
      </w:r>
      <w:r>
        <w:rPr>
          <w:rFonts w:eastAsia="Calibri"/>
          <w:lang w:eastAsia="en-US"/>
        </w:rPr>
        <w:t xml:space="preserve"> в 2024 году (далее – конкурс)</w:t>
      </w:r>
      <w:r>
        <w:rPr>
          <w:rFonts w:eastAsia="Calibri"/>
        </w:rPr>
        <w:t>, функции, права, обязанности организатора конкурса, жюри конкурса, сроки и условия проведения конкурса, критерии оценки конкурсных работ, порядок подведения итогов и распределение призового фонда конкурса.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1.2.</w:t>
        <w:tab/>
        <w:t>Конкурс проводится в рамках реализации муниципальной программы «Развитие образования города Нижневартовска».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1.3.</w:t>
        <w:tab/>
        <w:t>Организацию и проведение конкурса осуществляет муниципальное автономное учреждение города Нижневартовска «Центр развития образования» (далее – МАУ г. Нижневартовска «ЦРО»).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1.4.</w:t>
        <w:tab/>
        <w:t>Координацию организации и проведения конкурса осуществляет департамент образования администрации города Нижневартовска (далее – департамент образования).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1.5.</w:t>
        <w:tab/>
        <w:t>Участие в конкурсе добровольное.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1.6.</w:t>
        <w:tab/>
        <w:t>Рабочим языком конкурса является русский – государственный язык Российской Федерации.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1.7.</w:t>
        <w:tab/>
        <w:t>Основными принципами проведения конкурса являются гласность, открытость, прозрачность процедур и обеспечение равных возможностей для участия в нём обучающихся образовательных организаций.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1.8.</w:t>
        <w:tab/>
        <w:t>Информационное сопровождение конкурса осуществляется на портале системы образования города Нижневартовска (</w:t>
      </w:r>
      <w:hyperlink r:id="rId2">
        <w:r>
          <w:rPr>
            <w:rStyle w:val="-"/>
            <w:rFonts w:eastAsia="Calibri"/>
          </w:rPr>
          <w:t>http</w:t>
        </w:r>
        <w:r>
          <w:rPr>
            <w:rStyle w:val="-"/>
            <w:rFonts w:eastAsia="Calibri"/>
            <w:lang w:val="en-US"/>
          </w:rPr>
          <w:t>s</w:t>
        </w:r>
        <w:r>
          <w:rPr>
            <w:rStyle w:val="-"/>
            <w:rFonts w:eastAsia="Calibri"/>
          </w:rPr>
          <w:t>://edu-nv.ru</w:t>
        </w:r>
      </w:hyperlink>
      <w:r>
        <w:rPr>
          <w:rFonts w:eastAsia="Calibri"/>
        </w:rPr>
        <w:t>).</w:t>
      </w:r>
    </w:p>
    <w:p>
      <w:pPr>
        <w:pStyle w:val="Normal"/>
        <w:ind w:right="141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numPr>
          <w:ilvl w:val="0"/>
          <w:numId w:val="5"/>
        </w:numPr>
        <w:ind w:left="0"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Цель и задачи конкурса</w:t>
      </w:r>
    </w:p>
    <w:p>
      <w:pPr>
        <w:pStyle w:val="Normal"/>
        <w:ind w:right="141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2.1.</w:t>
        <w:tab/>
        <w:t xml:space="preserve">Цель конкурса: </w:t>
      </w:r>
      <w:r>
        <w:rPr>
          <w:rFonts w:eastAsia="Calibri"/>
          <w:color w:val="000000"/>
        </w:rPr>
        <w:t xml:space="preserve">формирование </w:t>
      </w:r>
      <w:r>
        <w:rPr>
          <w:rFonts w:eastAsia="Calibri"/>
          <w:color w:val="000000"/>
          <w:lang w:eastAsia="en-US"/>
        </w:rPr>
        <w:t>культуры межэтнического общения,</w:t>
      </w:r>
      <w:r>
        <w:rPr>
          <w:rFonts w:eastAsia="Calibri"/>
          <w:b/>
          <w:color w:val="000000"/>
          <w:lang w:eastAsia="en-US"/>
        </w:rPr>
        <w:t xml:space="preserve"> </w:t>
      </w:r>
      <w:r>
        <w:rPr>
          <w:rFonts w:eastAsia="Calibri"/>
          <w:lang w:eastAsia="en-US"/>
        </w:rPr>
        <w:t xml:space="preserve">профилактика проявлений ксенофобии и экстремизма среди обучающихся </w:t>
      </w:r>
      <w:r>
        <w:rPr>
          <w:rFonts w:eastAsia="Calibri"/>
        </w:rPr>
        <w:t>общеобразовательных организаций, подведомственных департаменту образования администрации города Нижневартовска.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2.2.</w:t>
        <w:tab/>
        <w:t>Задачи конкурса: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формирование средствами литературного творчества интереса к культуре народов, проживающих в городе Нижневартовске, уважительного отношения к представителям различных национальностей, поддержание межнационального и межконфессионального согласия;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укрепление положительных представлений подрастающего поколения о культуре, обычаях, традициях, языках представителей различных национальностей;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  <w:lang w:eastAsia="en-US"/>
        </w:rPr>
      </w:pPr>
      <w:r>
        <w:rPr>
          <w:rFonts w:eastAsia="Calibri"/>
        </w:rPr>
        <w:t>выявление и поощрение талантливых, творческих и активных школьников образовательных</w:t>
      </w:r>
      <w:r>
        <w:rPr>
          <w:rFonts w:eastAsia="Calibri"/>
          <w:lang w:eastAsia="en-US"/>
        </w:rPr>
        <w:t xml:space="preserve"> организаций.</w:t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  <w:r>
        <w:br w:type="page"/>
      </w:r>
    </w:p>
    <w:p>
      <w:pPr>
        <w:pStyle w:val="Normal"/>
        <w:numPr>
          <w:ilvl w:val="0"/>
          <w:numId w:val="5"/>
        </w:numPr>
        <w:ind w:left="0"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Участники конкурса</w:t>
      </w:r>
    </w:p>
    <w:p>
      <w:pPr>
        <w:pStyle w:val="Normal"/>
        <w:ind w:right="141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numPr>
          <w:ilvl w:val="1"/>
          <w:numId w:val="2"/>
        </w:numPr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 xml:space="preserve">В конкурсе принимают участие обучающиеся </w:t>
      </w:r>
      <w:r>
        <w:rPr>
          <w:rFonts w:eastAsia="Calibri"/>
          <w:color w:val="000000"/>
        </w:rPr>
        <w:t>2-11</w:t>
      </w:r>
      <w:r>
        <w:rPr>
          <w:rFonts w:eastAsia="Calibri"/>
        </w:rPr>
        <w:t xml:space="preserve"> классов общеобразовательных организаций, подведомственных департаменту образования администрации города Нижневартовска (далее – участники).</w:t>
      </w:r>
    </w:p>
    <w:p>
      <w:pPr>
        <w:pStyle w:val="Normal"/>
        <w:numPr>
          <w:ilvl w:val="1"/>
          <w:numId w:val="2"/>
        </w:numPr>
        <w:ind w:left="0" w:firstLine="709"/>
        <w:jc w:val="both"/>
        <w:rPr>
          <w:rFonts w:eastAsia="Calibri"/>
        </w:rPr>
      </w:pPr>
      <w:r>
        <w:rPr>
          <w:rFonts w:eastAsia="Calibri"/>
        </w:rPr>
        <w:t>Количество участников от одной общеобразовательной организации, подведомственной департаменту образования администрации города Нижневартовска (далее – образовательная организация), в каждой номинации не ограничено.</w:t>
      </w:r>
    </w:p>
    <w:p>
      <w:pPr>
        <w:pStyle w:val="Normal"/>
        <w:numPr>
          <w:ilvl w:val="1"/>
          <w:numId w:val="2"/>
        </w:numPr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В каждой номинации допускается одна конкурсная работа от каждого участника.</w:t>
      </w:r>
    </w:p>
    <w:p>
      <w:pPr>
        <w:pStyle w:val="Normal"/>
        <w:numPr>
          <w:ilvl w:val="1"/>
          <w:numId w:val="2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Обучающийся, претендент на участие в конкурсе, должен быть индивидуальным автором своей конкурсной работы.</w:t>
      </w:r>
    </w:p>
    <w:p>
      <w:pPr>
        <w:pStyle w:val="Normal"/>
        <w:numPr>
          <w:ilvl w:val="1"/>
          <w:numId w:val="2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Участники конкурса несут ответственность за нарушение авторских прав и иных прав и законных интересов третьих лиц согласно действующему законодательству Российской Федерации.</w:t>
      </w:r>
    </w:p>
    <w:p>
      <w:pPr>
        <w:pStyle w:val="Normal"/>
        <w:numPr>
          <w:ilvl w:val="1"/>
          <w:numId w:val="2"/>
        </w:numPr>
        <w:ind w:left="0" w:firstLine="709"/>
        <w:rPr>
          <w:rFonts w:eastAsia="Calibri"/>
        </w:rPr>
      </w:pPr>
      <w:r>
        <w:rPr>
          <w:rFonts w:eastAsia="Calibri"/>
        </w:rPr>
        <w:t>Участие в конкурсе означает согласие со всеми условиями настоящего положения.</w:t>
      </w:r>
    </w:p>
    <w:p>
      <w:pPr>
        <w:pStyle w:val="Normal"/>
        <w:ind w:right="141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numPr>
          <w:ilvl w:val="0"/>
          <w:numId w:val="5"/>
        </w:numPr>
        <w:ind w:left="0"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Организационный комитет</w:t>
      </w:r>
    </w:p>
    <w:p>
      <w:pPr>
        <w:pStyle w:val="Normal"/>
        <w:ind w:right="141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4.1.</w:t>
        <w:tab/>
        <w:t>Организатором конкурса является МАУ г. Нижневартовска «ЦРО».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4.2.</w:t>
        <w:tab/>
        <w:t>Для организации и проведения конкурса создается организационный комитет (далее – оргкомитет), в состав которого входят представители департамента образования администрации города, муниципального автономного учреждения города Нижневартовска «Центр развития образования», руководящие работники образовательных организаций. Состав оргкомитета утверждается приказом директора департамента образования администрации города Нижневартовска.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4.3</w:t>
        <w:tab/>
        <w:t>Функции оргкомитета: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своевременно информирует образовательные организации о предстоящем конкурсе;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консультирует участников по вопросам проведения конкурса;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осуществляет прием заявок на участие, конкурсных работ участников;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формирует список участников конкурса;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организует работу жюри конкурса;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/>
      </w:pPr>
      <w:r>
        <w:rPr>
          <w:rFonts w:eastAsia="Calibri"/>
        </w:rPr>
        <w:t>формирует рейтинг конкурсных работ участников в каждой номинации на основании экспертных листов жюри конкурса;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оформляет списки победителей, призеров, номинантов конкурса в каждой номинации на основании протокола жюри конкурса и направляет их в департамент образования для утверждения приказом директора департамента образования;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размещает анонс, итоги конкурса на портале системы образования города Нижневартовска (</w:t>
      </w:r>
      <w:hyperlink r:id="rId3">
        <w:r>
          <w:rPr>
            <w:rStyle w:val="-"/>
          </w:rPr>
          <w:t>http</w:t>
        </w:r>
        <w:r>
          <w:rPr>
            <w:rStyle w:val="-"/>
            <w:lang w:val="en-US"/>
          </w:rPr>
          <w:t>s</w:t>
        </w:r>
        <w:r>
          <w:rPr>
            <w:rStyle w:val="-"/>
          </w:rPr>
          <w:t>://edu-nv.ru</w:t>
        </w:r>
      </w:hyperlink>
      <w:r>
        <w:rPr>
          <w:rFonts w:eastAsia="Calibri"/>
        </w:rPr>
        <w:t>);</w:t>
      </w:r>
    </w:p>
    <w:p>
      <w:pPr>
        <w:pStyle w:val="Normal"/>
        <w:numPr>
          <w:ilvl w:val="0"/>
          <w:numId w:val="6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передает в образовательные организации дипломы и подарки для победителей, призеров, номинантов конкурса.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4.4.</w:t>
        <w:tab/>
        <w:t>Оргкомитет имеет право использовать конкурсные работы участников в некоммерческих целях, то есть корректировать, тиражировать, публиковать в печатных и электронных средствах массовой информации, экспонировать во время проведения различных мероприятий с указанием авторов работ, но без выплаты им денежного вознаграждения.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4.5.</w:t>
        <w:tab/>
        <w:t>Обязанности оргкомитета: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создание равных условий для всех участников конкурса;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обеспечение гласности проведения конкурса;</w:t>
      </w:r>
    </w:p>
    <w:p>
      <w:pPr>
        <w:pStyle w:val="Normal"/>
        <w:numPr>
          <w:ilvl w:val="0"/>
          <w:numId w:val="7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соблюдение настоящего положения.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4.4. Организатор конкурса не несет ответственности за нарушение участниками конкурса авторских прав и иных прав и законных интересов третьих лиц согласно действующему законодательству Российской Федерации.</w:t>
      </w:r>
    </w:p>
    <w:p>
      <w:pPr>
        <w:pStyle w:val="Normal"/>
        <w:ind w:right="141" w:hanging="0"/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</w:r>
    </w:p>
    <w:p>
      <w:pPr>
        <w:pStyle w:val="Normal"/>
        <w:ind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V.</w:t>
        <w:tab/>
        <w:t>Сроки и условия проведения конкурса</w:t>
      </w:r>
    </w:p>
    <w:p>
      <w:pPr>
        <w:pStyle w:val="Normal"/>
        <w:ind w:right="141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numPr>
          <w:ilvl w:val="1"/>
          <w:numId w:val="1"/>
        </w:numPr>
        <w:spacing w:before="0" w:after="120"/>
        <w:ind w:left="0"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Конкурс проводится дистанционно в разделе «Дистанционные конкурсы для школьников» на портале системы образования города Нижневартовска (</w:t>
      </w:r>
      <w:hyperlink r:id="rId4">
        <w:r>
          <w:rPr>
            <w:rStyle w:val="-"/>
          </w:rPr>
          <w:t>http</w:t>
        </w:r>
        <w:r>
          <w:rPr>
            <w:rStyle w:val="-"/>
            <w:lang w:val="en-US"/>
          </w:rPr>
          <w:t>s</w:t>
        </w:r>
        <w:r>
          <w:rPr>
            <w:rStyle w:val="-"/>
          </w:rPr>
          <w:t>://edu-nv.ru</w:t>
        </w:r>
      </w:hyperlink>
      <w:r>
        <w:rPr>
          <w:rFonts w:eastAsia="Calibri"/>
          <w:lang w:eastAsia="en-US"/>
        </w:rPr>
        <w:t>) (далее – страница конкурса в системе «ДКШ») с 08.04.2024 – 14.05.2024 в три этапа: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377"/>
        <w:gridCol w:w="2175"/>
        <w:gridCol w:w="6511"/>
      </w:tblGrid>
      <w:tr>
        <w:trPr>
          <w:tblHeader w:val="true"/>
          <w:trHeight w:val="283" w:hRule="atLeast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Сроки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Этапы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Описание этапов</w:t>
            </w:r>
          </w:p>
        </w:tc>
      </w:tr>
      <w:tr>
        <w:trPr>
          <w:trHeight w:val="416" w:hRule="atLeast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en-US" w:eastAsia="x-none"/>
              </w:rPr>
            </w:pPr>
            <w:r>
              <w:rPr>
                <w:bCs/>
                <w:lang w:eastAsia="x-none"/>
              </w:rPr>
              <w:t>08.04.2024 – 18.04.2024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x-none" w:eastAsia="x-none"/>
              </w:rPr>
            </w:pPr>
            <w:r>
              <w:rPr>
                <w:bCs/>
                <w:lang w:val="x-none" w:eastAsia="x-none"/>
              </w:rPr>
              <w:t>организационный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- 08.04.2024 – 16.04.2024 школьные операторы ДКШ регистрируют участников конкурса (заполняют карточки участников и прикрепляют конкурсные работы) на странице конкурса «ДКШ»;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- 17.04.2024 – 18.04.2024 оргкомитет конкурса проверяет наличие заполненных карточек и конкурсных работ участников на странице конкурса «ДКШ»;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- 18.04.2024 оргкомитет конкурса публикует списки участников конкурса на странице конкурса «ДКШ»</w:t>
            </w:r>
            <w:r>
              <w:rPr>
                <w:rFonts w:eastAsia="Calibri"/>
              </w:rPr>
              <w:t>.</w:t>
            </w:r>
          </w:p>
        </w:tc>
      </w:tr>
      <w:tr>
        <w:trPr/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19.</w:t>
            </w:r>
            <w:r>
              <w:rPr>
                <w:bCs/>
                <w:lang w:val="x-none" w:eastAsia="x-none"/>
              </w:rPr>
              <w:t>0</w:t>
            </w:r>
            <w:r>
              <w:rPr>
                <w:bCs/>
                <w:lang w:eastAsia="x-none"/>
              </w:rPr>
              <w:t>4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24</w:t>
            </w:r>
            <w:r>
              <w:rPr>
                <w:bCs/>
                <w:lang w:val="x-none" w:eastAsia="x-none"/>
              </w:rPr>
              <w:t xml:space="preserve"> –</w:t>
            </w:r>
            <w:r>
              <w:rPr>
                <w:bCs/>
                <w:lang w:eastAsia="x-none"/>
              </w:rPr>
              <w:t xml:space="preserve"> </w:t>
            </w:r>
            <w:r>
              <w:rPr>
                <w:bCs/>
                <w:lang w:val="en-US" w:eastAsia="x-none"/>
              </w:rPr>
              <w:t>2</w:t>
            </w:r>
            <w:r>
              <w:rPr>
                <w:bCs/>
                <w:lang w:eastAsia="x-none"/>
              </w:rPr>
              <w:t>7.04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основной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 </w:t>
            </w:r>
            <w:r>
              <w:rPr>
                <w:rFonts w:eastAsia="Calibri"/>
                <w:lang w:eastAsia="en-US"/>
              </w:rPr>
              <w:t>19.04.2024 – 27.04.2024 жюри конкурса оценивает конкурсные работы участников на странице конкурса в системе «ДКШ»;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 </w:t>
            </w:r>
            <w:r>
              <w:rPr>
                <w:rFonts w:eastAsia="Calibri"/>
                <w:lang w:eastAsia="en-US"/>
              </w:rPr>
              <w:t>27.04.2024 жюри конкурса подводит итоги конкурса;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- 27.04.2024 председатель жюри направляет в оргкомитет протоколы по итогам конкурса в каждой номинации и экспертные листы членов жюри на адрес </w:t>
            </w:r>
            <w:hyperlink r:id="rId5">
              <w:r>
                <w:rPr>
                  <w:rStyle w:val="-"/>
                  <w:rFonts w:eastAsia="Calibri"/>
                  <w:lang w:val="en-US" w:eastAsia="en-US"/>
                </w:rPr>
                <w:t>omsdo</w:t>
              </w:r>
              <w:r>
                <w:rPr>
                  <w:rStyle w:val="-"/>
                  <w:rFonts w:eastAsia="Calibri"/>
                  <w:lang w:eastAsia="en-US"/>
                </w:rPr>
                <w:t>@</w:t>
              </w:r>
              <w:r>
                <w:rPr>
                  <w:rStyle w:val="-"/>
                  <w:rFonts w:eastAsia="Calibri"/>
                  <w:lang w:val="en-US" w:eastAsia="en-US"/>
                </w:rPr>
                <w:t>mail</w:t>
              </w:r>
              <w:r>
                <w:rPr>
                  <w:rStyle w:val="-"/>
                  <w:rFonts w:eastAsia="Calibri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lang w:val="en-US" w:eastAsia="en-US"/>
                </w:rPr>
                <w:t>ru</w:t>
              </w:r>
            </w:hyperlink>
          </w:p>
        </w:tc>
      </w:tr>
      <w:tr>
        <w:trPr>
          <w:trHeight w:val="983" w:hRule="atLeast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eastAsia="x-none"/>
              </w:rPr>
            </w:pPr>
            <w:r>
              <w:rPr>
                <w:bCs/>
                <w:lang w:val="en-US" w:eastAsia="x-none"/>
              </w:rPr>
              <w:t>02</w:t>
            </w:r>
            <w:r>
              <w:rPr>
                <w:bCs/>
                <w:lang w:eastAsia="x-none"/>
              </w:rPr>
              <w:t>.0</w:t>
            </w:r>
            <w:r>
              <w:rPr>
                <w:bCs/>
                <w:lang w:val="en-US" w:eastAsia="x-none"/>
              </w:rPr>
              <w:t>5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24</w:t>
            </w:r>
            <w:r>
              <w:rPr>
                <w:bCs/>
                <w:lang w:val="x-none" w:eastAsia="x-none"/>
              </w:rPr>
              <w:t xml:space="preserve"> –</w:t>
            </w:r>
            <w:r>
              <w:rPr>
                <w:bCs/>
                <w:lang w:eastAsia="x-none"/>
              </w:rPr>
              <w:t xml:space="preserve"> </w:t>
            </w:r>
            <w:r>
              <w:rPr>
                <w:bCs/>
                <w:lang w:val="en-US" w:eastAsia="x-none"/>
              </w:rPr>
              <w:t>14</w:t>
            </w:r>
            <w:r>
              <w:rPr>
                <w:bCs/>
                <w:lang w:eastAsia="x-none"/>
              </w:rPr>
              <w:t>.0</w:t>
            </w:r>
            <w:r>
              <w:rPr>
                <w:bCs/>
                <w:lang w:val="en-US" w:eastAsia="x-none"/>
              </w:rPr>
              <w:t>5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заключительный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- 02.05.2024 оргкомитет конкурса обрабатывает результаты конкурса и направляет списки победителей, призеров, номинантов конкурса в каждой номинации в департамент образования для утверждения приказом;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- 03.05.2024 </w:t>
            </w:r>
            <w:r>
              <w:rPr>
                <w:rFonts w:eastAsia="Calibri"/>
                <w:bCs/>
                <w:iCs/>
                <w:lang w:eastAsia="en-US"/>
              </w:rPr>
              <w:t xml:space="preserve">оргкомитет конкурса </w:t>
            </w:r>
            <w:r>
              <w:rPr>
                <w:rFonts w:eastAsia="Calibri"/>
                <w:lang w:eastAsia="en-US"/>
              </w:rPr>
              <w:t>публикует итоги конкурса на портале системы образования города Нижневартовска (</w:t>
            </w:r>
            <w:hyperlink r:id="rId6">
              <w:r>
                <w:rPr>
                  <w:rStyle w:val="-"/>
                </w:rPr>
                <w:t>http</w:t>
              </w:r>
              <w:r>
                <w:rPr>
                  <w:rStyle w:val="-"/>
                  <w:lang w:val="en-US"/>
                </w:rPr>
                <w:t>s</w:t>
              </w:r>
              <w:r>
                <w:rPr>
                  <w:rStyle w:val="-"/>
                </w:rPr>
                <w:t>://edu-nv.ru</w:t>
              </w:r>
            </w:hyperlink>
            <w:r>
              <w:rPr>
                <w:rFonts w:eastAsia="Calibri"/>
                <w:lang w:eastAsia="en-US"/>
              </w:rPr>
              <w:t>);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 до 08.05.2024 (включительно) </w:t>
            </w:r>
            <w:r>
              <w:rPr>
                <w:rFonts w:eastAsia="Calibri"/>
                <w:bCs/>
                <w:iCs/>
                <w:lang w:eastAsia="en-US"/>
              </w:rPr>
              <w:t>оргкомитет конкурса организует подготовку наградного материала (дипломы, подарки);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 xml:space="preserve">- до 14.05.2024 (включительно) оргкомитет передает в образовательные организации наградной материал (дипломы, подарки) для награждения </w:t>
            </w:r>
            <w:r>
              <w:rPr>
                <w:rFonts w:eastAsia="Calibri"/>
                <w:lang w:eastAsia="en-US"/>
              </w:rPr>
              <w:t>победителей, призеров, номинантов конкурса</w:t>
            </w:r>
          </w:p>
        </w:tc>
      </w:tr>
    </w:tbl>
    <w:p>
      <w:pPr>
        <w:pStyle w:val="Normal"/>
        <w:tabs>
          <w:tab w:val="clear" w:pos="709"/>
          <w:tab w:val="left" w:pos="567" w:leader="none"/>
        </w:tabs>
        <w:ind w:left="360" w:right="141" w:hanging="0"/>
        <w:jc w:val="both"/>
        <w:rPr>
          <w:rFonts w:eastAsia="Calibri"/>
          <w:highlight w:val="yellow"/>
          <w:lang w:eastAsia="en-US"/>
        </w:rPr>
      </w:pPr>
      <w:r>
        <w:rPr>
          <w:rFonts w:eastAsia="Calibri"/>
          <w:highlight w:val="yellow"/>
          <w:lang w:eastAsia="en-US"/>
        </w:rPr>
      </w:r>
    </w:p>
    <w:p>
      <w:pPr>
        <w:pStyle w:val="Normal"/>
        <w:numPr>
          <w:ilvl w:val="1"/>
          <w:numId w:val="1"/>
        </w:numPr>
        <w:spacing w:before="0" w:after="120"/>
        <w:ind w:left="0"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Конкурс проводится по следующим номинациям и возрастным категориям: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3"/>
        <w:gridCol w:w="2858"/>
        <w:gridCol w:w="4122"/>
      </w:tblGrid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Возрастная группа участников конкурса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Номинация конкурса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номинации</w:t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2-4 классов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Лучшая сказка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both"/>
              <w:rPr/>
            </w:pPr>
            <w:r>
              <w:rPr/>
              <w:t>Дружба и братство лучше богатства!</w:t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5-8 классов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Лучшее сочинение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both"/>
              <w:rPr/>
            </w:pPr>
            <w:r>
              <w:rPr>
                <w:rFonts w:eastAsia="Calibri"/>
              </w:rPr>
              <w:t>Мы – многонациональный народ Нижневартовска!</w:t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 классов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Лучшее эссе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right="141" w:hanging="0"/>
              <w:contextualSpacing/>
              <w:jc w:val="both"/>
              <w:rPr/>
            </w:pPr>
            <w:r>
              <w:rPr/>
              <w:t>Дружба и единство – путь к миру и согласию!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pacing w:before="0" w:after="0"/>
        <w:ind w:right="141" w:hanging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numPr>
          <w:ilvl w:val="1"/>
          <w:numId w:val="1"/>
        </w:numPr>
        <w:spacing w:before="0" w:after="120"/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Для участия в конкурсе образовательная организация назначает школьного оператора ДКШ, который отвечает за сопровождение конкурса в образовательной организации в разделе «Дистанционные конкурсы для школьников» на портале системы образования города Нижневартовска (</w:t>
      </w:r>
      <w:hyperlink r:id="rId7">
        <w:r>
          <w:rPr>
            <w:rStyle w:val="-"/>
          </w:rPr>
          <w:t>http</w:t>
        </w:r>
        <w:r>
          <w:rPr>
            <w:rStyle w:val="-"/>
            <w:lang w:val="en-US"/>
          </w:rPr>
          <w:t>s</w:t>
        </w:r>
        <w:r>
          <w:rPr>
            <w:rStyle w:val="-"/>
          </w:rPr>
          <w:t>://edu-nv.ru</w:t>
        </w:r>
      </w:hyperlink>
      <w:r>
        <w:rPr>
          <w:rFonts w:eastAsia="Calibri"/>
        </w:rPr>
        <w:t>).</w:t>
      </w:r>
    </w:p>
    <w:p>
      <w:pPr>
        <w:pStyle w:val="Normal"/>
        <w:numPr>
          <w:ilvl w:val="1"/>
          <w:numId w:val="1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Обязанности школьного оператора ДКШ: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 принимает конкурсные работы от участников конкурса;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 проверяет конкурсные работы на соответствие п. 3.4., п. 3.5., п. 5.7. настоящего положения;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 регистрирует участников конкурса в системе «Дистанционные конкурсы для школьников» на портале системы образования города Нижневартовска (</w:t>
      </w:r>
      <w:hyperlink r:id="rId8">
        <w:r>
          <w:rPr>
            <w:rStyle w:val="-"/>
          </w:rPr>
          <w:t>http</w:t>
        </w:r>
        <w:r>
          <w:rPr>
            <w:rStyle w:val="-"/>
            <w:lang w:val="en-US"/>
          </w:rPr>
          <w:t>s</w:t>
        </w:r>
        <w:r>
          <w:rPr>
            <w:rStyle w:val="-"/>
          </w:rPr>
          <w:t>://edu-nv.ru</w:t>
        </w:r>
      </w:hyperlink>
      <w:r>
        <w:rPr>
          <w:rFonts w:eastAsia="Calibri"/>
        </w:rPr>
        <w:t>) (название конкурса, название номинации, название конкурсной работы, название образовательной организации, фамилия, имя, отчество (полностью) участника, класс обучения; загружает конкурсную работу в электронном виде);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 получает наградной материал (дипломы, подарки) победителей, призеров, номинантов конкурса от оргкомитета конкурса по адресу: г. Нижневартовск, ул. Мира, 56 «б», МАУ г. Нижневартовска «ЦРО»;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 организует вручение наградного материала (дипломы, подарки) победителям, призерам, номинантам конкурса на базе образовательной организации.</w:t>
      </w:r>
    </w:p>
    <w:p>
      <w:pPr>
        <w:pStyle w:val="Normal"/>
        <w:numPr>
          <w:ilvl w:val="1"/>
          <w:numId w:val="1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Руководитель образовательной организации несет ответственность за достоверность представленной в заявке информации и персональных данных участников.</w:t>
      </w:r>
    </w:p>
    <w:p>
      <w:pPr>
        <w:pStyle w:val="Normal"/>
        <w:numPr>
          <w:ilvl w:val="1"/>
          <w:numId w:val="1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Участники оформляют конкурсную работу согласно приложению 1 к настоящему положению.</w:t>
      </w:r>
    </w:p>
    <w:p>
      <w:pPr>
        <w:pStyle w:val="Normal"/>
        <w:numPr>
          <w:ilvl w:val="1"/>
          <w:numId w:val="1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В конкурсной работе запрещается:</w:t>
      </w:r>
    </w:p>
    <w:p>
      <w:pPr>
        <w:pStyle w:val="Normal"/>
        <w:numPr>
          <w:ilvl w:val="0"/>
          <w:numId w:val="8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указывать адреса и телефоны, информацию о религиозных движениях, в том числе религиозную символику, название и упоминание о конкретных марках товаров, товарных знаках, знаках обслуживания, о физических и юридических лицах;</w:t>
      </w:r>
    </w:p>
    <w:p>
      <w:pPr>
        <w:pStyle w:val="Normal"/>
        <w:numPr>
          <w:ilvl w:val="0"/>
          <w:numId w:val="8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 xml:space="preserve">упоминать имена политических деятелей и лидеров, партий, политические лозунги, высказывания, несущие антигосударственный и антиконституционный смысл; </w:t>
      </w:r>
    </w:p>
    <w:p>
      <w:pPr>
        <w:pStyle w:val="Normal"/>
        <w:numPr>
          <w:ilvl w:val="0"/>
          <w:numId w:val="8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использовать чужие тексты, как полностью, так и частично.</w:t>
      </w:r>
    </w:p>
    <w:p>
      <w:pPr>
        <w:pStyle w:val="Normal"/>
        <w:numPr>
          <w:ilvl w:val="1"/>
          <w:numId w:val="1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Конкурсные работы, предоставленные образовательной организацией для участия в конкурсе, отклоняются жюри конкурса, в случае: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 предоставления конкурсной работы, тема которой не соответствует цели и номинации конкурса;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 предоставления конкурсной работы, разработанной несколькими авторами.</w:t>
      </w:r>
    </w:p>
    <w:p>
      <w:pPr>
        <w:pStyle w:val="Normal"/>
        <w:ind w:right="141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VI.</w:t>
        <w:tab/>
        <w:t>Жюри конкурса</w:t>
      </w:r>
    </w:p>
    <w:p>
      <w:pPr>
        <w:pStyle w:val="Normal"/>
        <w:ind w:right="142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</w:rPr>
        <w:t>В состав жюри конкурса могут входить представители департамента образования, МАУ г. Нижневартовска «ЦРО», педагогические работники муниципальных образовательных организаций города Нижневартовска (по согласованию). Состав жюри конкурса утверждается приказом департамента образования.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При выборе кандидатур в состав жюри учитываются опыт работы с детьми и молодежью в области воспитательной и профилактической деятельности, литературного творчества, опыт работы в составах жюри, конкурсных комиссий.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Руководит работой жюри конкурса председатель.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  <w:lang w:eastAsia="en-US"/>
        </w:rPr>
      </w:pPr>
      <w:r>
        <w:rPr>
          <w:rFonts w:eastAsia="Calibri"/>
        </w:rPr>
        <w:t>Член</w:t>
      </w:r>
      <w:r>
        <w:rPr>
          <w:rFonts w:eastAsia="Calibri"/>
          <w:lang w:eastAsia="en-US"/>
        </w:rPr>
        <w:t xml:space="preserve"> жюри не оценивает конкурсную работу участника из своей образовательной организации.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Оценивание конкурсной работы осуществляется путем расчета среднего балла (общее количество баллов, выставленных каждым членом жюри, суммируется и делится на количество членов жюри, оценивавших работу).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Заседание жюри конкурса считается правомочным, если на нем присутствует не менее 50% общего числа ее членов.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Решения жюри конкурса принимаются открытым голосованием простым большинством голосов ее членов, присутствующих на заседании. При голосовании мнение членов жюри выражается словами «за» или «против». Председатель и члены жюри обладают равным правом решающего голоса при оценке конкурсных работ.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Функции жюри конкурса:</w:t>
      </w:r>
    </w:p>
    <w:p>
      <w:pPr>
        <w:pStyle w:val="Normal"/>
        <w:numPr>
          <w:ilvl w:val="0"/>
          <w:numId w:val="9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осуществляет согласно критериям п. 7.1. настоящего положения экспертизу конкурсных работ;</w:t>
      </w:r>
    </w:p>
    <w:p>
      <w:pPr>
        <w:pStyle w:val="Normal"/>
        <w:numPr>
          <w:ilvl w:val="0"/>
          <w:numId w:val="9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проводит открытое голосование в случае равного количества баллов для определения победителей, призеров и номинантов конкурса в каждой номинации;</w:t>
      </w:r>
    </w:p>
    <w:p>
      <w:pPr>
        <w:pStyle w:val="Normal"/>
        <w:numPr>
          <w:ilvl w:val="0"/>
          <w:numId w:val="9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определяет победителей, призеров и номинантов в каждой номинации, оформляет протокол по итогам конкурса и передает его организатору для формирования рейтинга конкурсных работ и составления списка победителей, призеров и номинантов конкурса.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Права членов жюри конкурса: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 xml:space="preserve">проверить работу обучающегося в программе </w:t>
      </w:r>
      <w:r>
        <w:rPr/>
        <w:t>«</w:t>
      </w:r>
      <w:r>
        <w:rPr>
          <w:rFonts w:eastAsia="Calibri"/>
        </w:rPr>
        <w:t>AntiPlagiarism.NET</w:t>
      </w:r>
      <w:r>
        <w:rPr/>
        <w:t>»;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 xml:space="preserve">отклонить работу обучающегося после проверки в программе </w:t>
      </w:r>
      <w:r>
        <w:rPr/>
        <w:t>«</w:t>
      </w:r>
      <w:r>
        <w:rPr>
          <w:rFonts w:eastAsia="Calibri"/>
        </w:rPr>
        <w:t>AntiPlagiarism.NET</w:t>
      </w:r>
      <w:r>
        <w:rPr/>
        <w:t>»;</w:t>
      </w:r>
      <w:r>
        <w:rPr>
          <w:rFonts w:eastAsia="Calibri"/>
        </w:rPr>
        <w:t xml:space="preserve"> если оригинальность работы составляет менее 70%;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выступают на заседаниях жюри с оценкой или анализом рассматриваемых конкурсных работ;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знакомятся с содержанием протокола заседания жюри;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направляют председателю жюри предложения по оптимизации работы жюри конкурса.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Обязанности членов жюри конкурса: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соблюдают настоящее положение;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добросовестно исполняют возложенные на жюри конкурса функции;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лично присутствуют на заседаниях жюри (отсутствие члена жюри допускается только по уважительным причинам).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>Права председателя жюри конкурса: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определяет заседание жюри правомочным или принимает решение о его переносе из-за отсутствия кворума;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проводит открытые обсуждения с членами жюри во время проведения заседания;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выступает на заседании жюри с оценкой или анализом рассматриваемых конкурсных работ.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left="0" w:right="142" w:firstLine="709"/>
        <w:jc w:val="both"/>
        <w:rPr>
          <w:rFonts w:eastAsia="Calibri"/>
        </w:rPr>
      </w:pPr>
      <w:r>
        <w:rPr>
          <w:rFonts w:eastAsia="Calibri"/>
        </w:rPr>
        <w:tab/>
        <w:t>Обязанности председателя жюри конкурса: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лично присутствует на заседаниях жюри конкурса;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обеспечивает соблюдение составом жюри настоящего положения;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координирует работу жюри конкурса;</w:t>
      </w:r>
    </w:p>
    <w:p>
      <w:pPr>
        <w:pStyle w:val="Normal"/>
        <w:numPr>
          <w:ilvl w:val="0"/>
          <w:numId w:val="10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оформляет протокол заседания жюри по итогам конкурса согласно приложению 2 к настоящему положению.</w:t>
      </w:r>
    </w:p>
    <w:p>
      <w:pPr>
        <w:pStyle w:val="Normal"/>
        <w:ind w:right="141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VII.</w:t>
        <w:tab/>
        <w:t>Критерии оценки конкурсных работ</w:t>
      </w:r>
    </w:p>
    <w:p>
      <w:pPr>
        <w:pStyle w:val="Normal"/>
        <w:ind w:right="141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7.1.</w:t>
        <w:tab/>
        <w:t>Критерии оценивания конкурсных работ:</w:t>
      </w:r>
    </w:p>
    <w:p>
      <w:pPr>
        <w:pStyle w:val="Normal"/>
        <w:tabs>
          <w:tab w:val="clear" w:pos="709"/>
          <w:tab w:val="left" w:pos="1276" w:leader="none"/>
        </w:tabs>
        <w:spacing w:before="0" w:after="0"/>
        <w:ind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 всех номинациях: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36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соответствие содержания конкурсной работы теме номинации конкурса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36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социальная значимость (направлена на формирование у целевой группы позитивных ценностей и установок на уважение, понимание и принятие многообразия этнокультур города Нижневартовска, а также развитие чувства патриотизма и любви к Нижневартовску как многонациональному городу)</w:t>
      </w:r>
      <w:r>
        <w:rPr/>
        <w:t xml:space="preserve"> </w:t>
      </w:r>
      <w:r>
        <w:rPr>
          <w:rFonts w:eastAsia="Calibri"/>
          <w:lang w:eastAsia="en-US"/>
        </w:rPr>
        <w:t>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36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новизна, оригинальность идеи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36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качество исполнения и оформления работы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36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shd w:fill="FFFFFF" w:val="clear"/>
          <w:lang w:eastAsia="en-US"/>
        </w:rPr>
        <w:t>художественная выразительность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36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грамотность и корректность – от 0 до 5 баллов.</w:t>
      </w:r>
    </w:p>
    <w:p>
      <w:pPr>
        <w:pStyle w:val="Normal"/>
        <w:tabs>
          <w:tab w:val="clear" w:pos="709"/>
          <w:tab w:val="left" w:pos="1276" w:leader="none"/>
        </w:tabs>
        <w:spacing w:before="0" w:after="0"/>
        <w:ind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номинации </w:t>
      </w:r>
      <w:r>
        <w:rPr>
          <w:rFonts w:eastAsia="Calibri"/>
          <w:iCs/>
          <w:lang w:eastAsia="en-US"/>
        </w:rPr>
        <w:t>«Лучшая сказка» (</w:t>
      </w:r>
      <w:r>
        <w:rPr>
          <w:rFonts w:eastAsia="Calibri"/>
          <w:lang w:eastAsia="en-US"/>
        </w:rPr>
        <w:t xml:space="preserve">сказка – один из основных жанров фольклора, эпическое, преимущественно прозаическое произведение волшебного, авантюрного или бытового характера с установкой на вымысел (Источник: </w:t>
      </w:r>
      <w:hyperlink r:id="rId9">
        <w:r>
          <w:rPr>
            <w:rFonts w:eastAsia="Calibri"/>
            <w:color w:val="0000FF"/>
            <w:u w:val="single"/>
            <w:lang w:eastAsia="en-US"/>
          </w:rPr>
          <w:t>http://tolkslovar.ru/s5916.html</w:t>
        </w:r>
      </w:hyperlink>
      <w:r>
        <w:rPr>
          <w:rFonts w:eastAsia="Calibri"/>
          <w:lang w:eastAsia="en-US"/>
        </w:rPr>
        <w:t>):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shd w:fill="FFFFFF" w:val="clear"/>
          <w:lang w:eastAsia="en-US"/>
        </w:rPr>
        <w:t>соответствие жанровой структуре сказки – от 0 до 5 баллов</w:t>
      </w:r>
      <w:r>
        <w:rPr>
          <w:rFonts w:eastAsia="Calibri"/>
          <w:lang w:eastAsia="en-US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left="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использование стилистических приемов (троекратный повтор, преувеличение (гипербола), противопоставление, эпитеты (украшающие определения)</w:t>
      </w:r>
      <w:r>
        <w:rPr/>
        <w:t xml:space="preserve"> </w:t>
      </w:r>
      <w:r>
        <w:rPr>
          <w:rFonts w:eastAsia="Calibri"/>
          <w:lang w:eastAsia="en-US"/>
        </w:rPr>
        <w:t>– от 0 до 5 баллов.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В номинации «Лучшее сочинение» (сочинение — вид письменной школьной работы, представляющий рассуждение, изложение своих мыслей и чувств по заданной теме (материал из Википедии):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</w:tabs>
        <w:spacing w:before="0" w:after="0"/>
        <w:ind w:left="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глубина и полнота раскрытия замысла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567" w:leader="none"/>
        </w:tabs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композиционная стройность (соблюдение законов композиции)</w:t>
      </w:r>
      <w:r>
        <w:rPr/>
        <w:t xml:space="preserve"> </w:t>
      </w:r>
      <w:r>
        <w:rPr>
          <w:rFonts w:eastAsia="Calibri"/>
        </w:rPr>
        <w:t>– от 0 до 5 баллов.</w:t>
      </w:r>
    </w:p>
    <w:p>
      <w:pPr>
        <w:pStyle w:val="Normal"/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номинации </w:t>
      </w:r>
      <w:r>
        <w:rPr>
          <w:rFonts w:eastAsia="Calibri"/>
          <w:iCs/>
          <w:lang w:eastAsia="en-US"/>
        </w:rPr>
        <w:t>«</w:t>
      </w:r>
      <w:r>
        <w:rPr>
          <w:rFonts w:eastAsia="Calibri"/>
        </w:rPr>
        <w:t>Лучшее</w:t>
      </w:r>
      <w:r>
        <w:rPr>
          <w:rFonts w:eastAsia="Calibri"/>
          <w:iCs/>
          <w:lang w:eastAsia="en-US"/>
        </w:rPr>
        <w:t xml:space="preserve"> эссе» (эссе – литературный жанр, прозаическое сочинение небольшого объёма и свободной композиции. Эссе выражает индивидуальные впечатления и соображения автора по конкретному поводу или предмету и не претендует на исчерпывающую или определяющую трактовку темы (материал из Википедии):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0" w:leader="none"/>
        </w:tabs>
        <w:spacing w:before="0" w:after="0"/>
        <w:ind w:left="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четкость постановки проблемы в рамках заявленной темы – от 0 до 5 баллов;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0" w:leader="none"/>
        </w:tabs>
        <w:spacing w:before="0" w:after="0"/>
        <w:ind w:left="0" w:right="141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отражение собственной точки зрения на проблему с аргументацией – от 0 до 5 баллов.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7.2.</w:t>
        <w:tab/>
        <w:t>Каждый критерий оценивается по 5-балльной шкале.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7.3.</w:t>
        <w:tab/>
        <w:t xml:space="preserve">Шкала оценки конкурсной работы по критерию: 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 xml:space="preserve">- 0 – отсутствие показателя; 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 xml:space="preserve">- 1-3 – показатель выражен незначительно; 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 xml:space="preserve">- 4 – показатель выражен в значительной степени; 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- 5 – четкая выраженность показателя.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7.4.</w:t>
        <w:tab/>
        <w:t>Максимальное количество баллов по результатам экспертизы конкурсной работы в каждой номинации составляет 40 баллов.</w:t>
      </w:r>
    </w:p>
    <w:p>
      <w:pPr>
        <w:pStyle w:val="Normal"/>
        <w:ind w:right="141" w:hanging="0"/>
        <w:jc w:val="both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VIII.</w:t>
        <w:tab/>
        <w:t>Подведение итогов конкурса</w:t>
      </w:r>
    </w:p>
    <w:p>
      <w:pPr>
        <w:pStyle w:val="Normal"/>
        <w:ind w:right="141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shd w:val="clear" w:color="auto" w:fill="FFFFFF"/>
        <w:tabs>
          <w:tab w:val="clear" w:pos="709"/>
          <w:tab w:val="left" w:pos="567" w:leader="none"/>
        </w:tabs>
        <w:ind w:firstLine="709"/>
        <w:jc w:val="both"/>
        <w:rPr>
          <w:rFonts w:eastAsia="Calibri"/>
        </w:rPr>
      </w:pPr>
      <w:r>
        <w:rPr>
          <w:rFonts w:eastAsia="Calibri"/>
        </w:rPr>
        <w:t>8.1. Итоги конкурса подводятся отдельно в каждой номинации и оформляются протоколами жюри, которые подписываются председателем и членами жюри и предоставляются организатору конкурса.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8.2. Итоговая оценка конкурсной работы формируется путем вычисления среднего арифметического значения всех оценок членов конкурсной комиссии за данную работу.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8.3.</w:t>
        <w:tab/>
        <w:t>По итогам конкурса в каждой номинации определяются победитель, призеры и номинанты:</w:t>
      </w:r>
    </w:p>
    <w:p>
      <w:pPr>
        <w:pStyle w:val="Normal"/>
        <w:numPr>
          <w:ilvl w:val="0"/>
          <w:numId w:val="12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1 победитель (1 место) – первая позиция в рейтинге;</w:t>
      </w:r>
    </w:p>
    <w:p>
      <w:pPr>
        <w:pStyle w:val="Normal"/>
        <w:numPr>
          <w:ilvl w:val="0"/>
          <w:numId w:val="12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2 призера (2 место) – вторая, третья позиции в рейтинге;</w:t>
      </w:r>
    </w:p>
    <w:p>
      <w:pPr>
        <w:pStyle w:val="Normal"/>
        <w:numPr>
          <w:ilvl w:val="0"/>
          <w:numId w:val="12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2 призера (3 место) – четвертая, пятая позиции в рейтинге;</w:t>
      </w:r>
    </w:p>
    <w:p>
      <w:pPr>
        <w:pStyle w:val="Normal"/>
        <w:numPr>
          <w:ilvl w:val="0"/>
          <w:numId w:val="12"/>
        </w:numPr>
        <w:ind w:left="0" w:right="141" w:firstLine="709"/>
        <w:jc w:val="both"/>
        <w:rPr>
          <w:rFonts w:eastAsia="Calibri"/>
        </w:rPr>
      </w:pPr>
      <w:r>
        <w:rPr>
          <w:rFonts w:eastAsia="Calibri"/>
        </w:rPr>
        <w:t>5 номинантов – шестая – десятая позиции в рейтинге.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8.4.</w:t>
        <w:tab/>
        <w:t>Список победителей, призеров, номинантов утверждается приказом департамента образования города Нижневартовска и доводится до сведения образовательных организаций.</w:t>
      </w:r>
    </w:p>
    <w:p>
      <w:pPr>
        <w:pStyle w:val="Normal"/>
        <w:ind w:right="141" w:firstLine="709"/>
        <w:jc w:val="both"/>
        <w:rPr>
          <w:rFonts w:eastAsia="Calibri"/>
        </w:rPr>
      </w:pPr>
      <w:r>
        <w:rPr>
          <w:rFonts w:eastAsia="Calibri"/>
        </w:rPr>
        <w:t>8.5.</w:t>
        <w:tab/>
        <w:t>Информация о победителях, призерах и номинантах конкурса публикуется на портале системы образования города Нижневартовска (</w:t>
      </w:r>
      <w:hyperlink r:id="rId10">
        <w:r>
          <w:rPr>
            <w:rStyle w:val="-"/>
          </w:rPr>
          <w:t>http</w:t>
        </w:r>
        <w:r>
          <w:rPr>
            <w:rStyle w:val="-"/>
            <w:lang w:val="en-US"/>
          </w:rPr>
          <w:t>s</w:t>
        </w:r>
        <w:r>
          <w:rPr>
            <w:rStyle w:val="-"/>
          </w:rPr>
          <w:t>://edu-nv.ru</w:t>
        </w:r>
      </w:hyperlink>
      <w:r>
        <w:rPr>
          <w:rFonts w:eastAsia="Calibri"/>
        </w:rPr>
        <w:t>).</w:t>
      </w:r>
    </w:p>
    <w:p>
      <w:pPr>
        <w:pStyle w:val="Normal"/>
        <w:ind w:right="141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right="-2" w:hanging="0"/>
        <w:jc w:val="center"/>
        <w:rPr>
          <w:rFonts w:eastAsia="Calibri"/>
          <w:b/>
        </w:rPr>
      </w:pPr>
      <w:r>
        <w:rPr>
          <w:rFonts w:eastAsia="Calibri"/>
          <w:b/>
        </w:rPr>
        <w:t>IX.</w:t>
        <w:tab/>
        <w:t>Призовой фонд и награждение участников конкурса</w:t>
      </w:r>
    </w:p>
    <w:p>
      <w:pPr>
        <w:pStyle w:val="Normal"/>
        <w:ind w:right="141" w:hanging="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9.1. Призовой фонд конкурса формируется за счет средств, предусмотренных на реализацию муниципальной программы </w:t>
      </w:r>
      <w:r>
        <w:rPr>
          <w:rFonts w:eastAsia="Calibri"/>
        </w:rPr>
        <w:t>«Развитие образования города Нижневартовска»,</w:t>
      </w:r>
      <w:r>
        <w:rPr>
          <w:rFonts w:eastAsia="Calibri"/>
          <w:lang w:eastAsia="en-US"/>
        </w:rPr>
        <w:t xml:space="preserve"> и используется исключительно для награждения победителей, призеров, номинантов конкурса</w:t>
      </w:r>
      <w:r>
        <w:rPr>
          <w:rFonts w:eastAsia="Calibri"/>
          <w:spacing w:val="-3"/>
          <w:lang w:val="x-none" w:eastAsia="x-none"/>
        </w:rPr>
        <w:t xml:space="preserve"> в</w:t>
      </w:r>
      <w:r>
        <w:rPr>
          <w:rFonts w:eastAsia="Calibri"/>
          <w:spacing w:val="-3"/>
          <w:lang w:eastAsia="x-none"/>
        </w:rPr>
        <w:t> </w:t>
      </w:r>
      <w:r>
        <w:rPr>
          <w:rFonts w:eastAsia="Calibri"/>
          <w:spacing w:val="-3"/>
          <w:lang w:val="x-none" w:eastAsia="x-none"/>
        </w:rPr>
        <w:t xml:space="preserve">каждой </w:t>
      </w:r>
      <w:r>
        <w:rPr>
          <w:rFonts w:eastAsia="Calibri"/>
          <w:spacing w:val="-3"/>
          <w:lang w:eastAsia="x-none"/>
        </w:rPr>
        <w:t>номинации</w:t>
      </w:r>
      <w:r>
        <w:rPr>
          <w:rFonts w:eastAsia="Calibri"/>
          <w:lang w:eastAsia="en-US"/>
        </w:rPr>
        <w:t xml:space="preserve"> дипломами </w:t>
      </w:r>
      <w:r>
        <w:rPr>
          <w:rFonts w:eastAsia="Calibri"/>
          <w:bCs/>
          <w:lang w:eastAsia="en-US"/>
        </w:rPr>
        <w:t xml:space="preserve">и </w:t>
      </w:r>
      <w:r>
        <w:rPr>
          <w:rFonts w:eastAsia="Calibri"/>
          <w:spacing w:val="-3"/>
          <w:lang w:eastAsia="en-US"/>
        </w:rPr>
        <w:t>подарками</w:t>
      </w:r>
      <w:r>
        <w:rPr>
          <w:rFonts w:eastAsia="Calibri"/>
          <w:lang w:eastAsia="en-US"/>
        </w:rPr>
        <w:t>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9.2. Организатор конкурса передает в образовательные организации дипломы, подарки победителей, призеров, номинантов конкурса для вручения в образовательной организации в торжественной обстановке.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br w:type="page"/>
      </w:r>
    </w:p>
    <w:tbl>
      <w:tblPr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7"/>
        <w:gridCol w:w="4218"/>
      </w:tblGrid>
      <w:tr>
        <w:trPr/>
        <w:tc>
          <w:tcPr>
            <w:tcW w:w="5777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jc w:val="right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</w:r>
          </w:p>
        </w:tc>
        <w:tc>
          <w:tcPr>
            <w:tcW w:w="4218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eastAsia="x-none"/>
              </w:rPr>
            </w:pPr>
            <w:r>
              <w:rPr>
                <w:lang w:val="x-none" w:eastAsia="x-none"/>
              </w:rPr>
              <w:t xml:space="preserve">Приложение </w:t>
            </w:r>
            <w:r>
              <w:rPr>
                <w:lang w:eastAsia="x-none"/>
              </w:rPr>
              <w:t>1</w:t>
            </w:r>
            <w:r>
              <w:rPr>
                <w:lang w:val="x-none" w:eastAsia="x-none"/>
              </w:rPr>
              <w:t xml:space="preserve"> к </w:t>
            </w:r>
            <w:r>
              <w:rPr>
                <w:lang w:eastAsia="x-none"/>
              </w:rPr>
              <w:t>положению</w:t>
            </w:r>
          </w:p>
        </w:tc>
      </w:tr>
    </w:tbl>
    <w:p>
      <w:pPr>
        <w:pStyle w:val="Normal"/>
        <w:ind w:right="141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right="141" w:hanging="0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Требования к оформлению конкурсных работ </w:t>
      </w:r>
    </w:p>
    <w:p>
      <w:pPr>
        <w:pStyle w:val="Normal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lang w:eastAsia="en-US"/>
        </w:rPr>
        <w:t xml:space="preserve">участников литературного конкурса </w:t>
      </w:r>
      <w:r>
        <w:rPr>
          <w:rFonts w:eastAsia="Calibri"/>
          <w:color w:val="000000"/>
          <w:lang w:eastAsia="en-US"/>
        </w:rPr>
        <w:t>«Нижневартовск – гармония в многообразии»</w:t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 xml:space="preserve">среди обучающихся </w:t>
      </w:r>
      <w:r>
        <w:rPr>
          <w:rFonts w:eastAsia="Calibri"/>
          <w:lang w:eastAsia="en-US"/>
        </w:rPr>
        <w:t xml:space="preserve">общеобразовательных организаций, подведомственных департаменту образования администрации города Нижневартовска, в 2024 году </w:t>
      </w:r>
    </w:p>
    <w:p>
      <w:pPr>
        <w:pStyle w:val="Normal"/>
        <w:tabs>
          <w:tab w:val="clear" w:pos="709"/>
          <w:tab w:val="left" w:pos="993" w:leader="none"/>
        </w:tabs>
        <w:spacing w:before="0" w:after="120"/>
        <w:ind w:right="141" w:hanging="0"/>
        <w:jc w:val="center"/>
        <w:rPr>
          <w:b/>
          <w:lang w:val="x-none" w:eastAsia="x-none"/>
        </w:rPr>
      </w:pPr>
      <w:r>
        <w:rPr>
          <w:b/>
          <w:lang w:val="x-none" w:eastAsia="x-none"/>
        </w:rPr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Конкурсные работы оформляются с учетом следующих требований: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исполнение в электронном варианте (формат </w:t>
      </w:r>
      <w:r>
        <w:rPr>
          <w:rFonts w:eastAsia="Calibri"/>
          <w:lang w:val="en-US" w:eastAsia="en-US"/>
        </w:rPr>
        <w:t>Word</w:t>
      </w:r>
      <w:r>
        <w:rPr>
          <w:rFonts w:eastAsia="Calibri"/>
          <w:lang w:eastAsia="en-US"/>
        </w:rPr>
        <w:t>) с титульным листом (название конкурса, название номинации, название работы, фамилия, имя, отчество автора, класс, возраст, сокращенное название образовательной организации);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страницы нумеруются, начиная с первой после титульного листа;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размер верхнего поля листа – 2 см, левого – 3 см, правого – 1,5 см, нижнего – 2 см; первая строка в абзаце с отступом 1,5 см;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 xml:space="preserve">- </w:t>
      </w:r>
      <w:r>
        <w:rPr>
          <w:rFonts w:eastAsia="Calibri"/>
          <w:lang w:eastAsia="en-US"/>
        </w:rPr>
        <w:t>шрифт</w:t>
      </w:r>
      <w:r>
        <w:rPr>
          <w:rFonts w:eastAsia="Calibri"/>
          <w:lang w:val="en-US" w:eastAsia="en-US"/>
        </w:rPr>
        <w:t xml:space="preserve"> Times New Roman, </w:t>
      </w:r>
      <w:r>
        <w:rPr>
          <w:rFonts w:eastAsia="Calibri"/>
          <w:lang w:eastAsia="en-US"/>
        </w:rPr>
        <w:t>размер</w:t>
      </w:r>
      <w:r>
        <w:rPr>
          <w:rFonts w:eastAsia="Calibri"/>
          <w:lang w:val="en-US" w:eastAsia="en-US"/>
        </w:rPr>
        <w:t xml:space="preserve"> 12 </w:t>
      </w:r>
      <w:r>
        <w:rPr>
          <w:rFonts w:eastAsia="Calibri"/>
          <w:lang w:eastAsia="en-US"/>
        </w:rPr>
        <w:t>пт</w:t>
      </w:r>
      <w:r>
        <w:rPr>
          <w:rFonts w:eastAsia="Calibri"/>
          <w:lang w:val="en-US" w:eastAsia="en-US"/>
        </w:rPr>
        <w:t>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spacing w:val="-4"/>
          <w:lang w:eastAsia="en-US"/>
        </w:rPr>
        <w:t>- межстрочный интервал – одинарный</w:t>
      </w:r>
      <w:r>
        <w:rPr>
          <w:rFonts w:eastAsia="Calibri"/>
          <w:spacing w:val="-3"/>
          <w:lang w:eastAsia="en-US"/>
        </w:rPr>
        <w:t>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spacing w:val="-4"/>
          <w:lang w:eastAsia="en-US"/>
        </w:rPr>
        <w:t>- выравнивание производится по ширине;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текст печатается без сокращений, кроме общепринятых аббревиатур;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материалы в номинации «Лучшее эссе» могут содержать фотографии, схемы, диаграммы, рисунки, которые оформляются приложениями. На приложения должны иметься ссылки в тексте. Подпись фото (рисунка, иллюстрации) выполняется курсивом и располагается под объектом. Размер шрифта – 10 пт.</w:t>
      </w:r>
    </w:p>
    <w:p>
      <w:pPr>
        <w:pStyle w:val="Normal"/>
        <w:ind w:firstLine="709"/>
        <w:jc w:val="both"/>
        <w:rPr>
          <w:b/>
          <w:bCs/>
          <w:color w:val="000000"/>
          <w:szCs w:val="28"/>
        </w:rPr>
      </w:pPr>
      <w:r>
        <w:rPr>
          <w:rFonts w:eastAsia="Calibri"/>
          <w:lang w:eastAsia="en-US"/>
        </w:rPr>
        <w:t xml:space="preserve">Конкурсная работа предоставляется </w:t>
      </w:r>
      <w:r>
        <w:rPr>
          <w:bCs/>
          <w:color w:val="000000"/>
          <w:szCs w:val="28"/>
        </w:rPr>
        <w:t>школьному оператору ДКШ</w:t>
      </w:r>
      <w:r>
        <w:rPr/>
        <w:t xml:space="preserve"> </w:t>
      </w:r>
      <w:r>
        <w:rPr>
          <w:bCs/>
          <w:color w:val="000000"/>
          <w:szCs w:val="28"/>
        </w:rPr>
        <w:t xml:space="preserve">на </w:t>
      </w:r>
      <w:r>
        <w:rPr>
          <w:b/>
          <w:bCs/>
          <w:color w:val="000000"/>
          <w:szCs w:val="28"/>
        </w:rPr>
        <w:t>флэш-носителе.</w:t>
      </w:r>
    </w:p>
    <w:p>
      <w:pPr>
        <w:pStyle w:val="Normal"/>
        <w:spacing w:before="0" w:after="120"/>
        <w:ind w:right="141" w:hanging="0"/>
        <w:rPr>
          <w:b/>
          <w:lang w:eastAsia="x-none"/>
        </w:rPr>
      </w:pPr>
      <w:r>
        <w:rPr>
          <w:b/>
          <w:lang w:eastAsia="x-none"/>
        </w:rPr>
      </w:r>
      <w:r>
        <w:br w:type="page"/>
      </w:r>
    </w:p>
    <w:tbl>
      <w:tblPr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7"/>
        <w:gridCol w:w="4218"/>
      </w:tblGrid>
      <w:tr>
        <w:trPr/>
        <w:tc>
          <w:tcPr>
            <w:tcW w:w="5777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jc w:val="right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</w:r>
          </w:p>
        </w:tc>
        <w:tc>
          <w:tcPr>
            <w:tcW w:w="4218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eastAsia="x-none"/>
              </w:rPr>
            </w:pPr>
            <w:r>
              <w:rPr>
                <w:lang w:val="x-none" w:eastAsia="x-none"/>
              </w:rPr>
              <w:t xml:space="preserve">Приложение </w:t>
            </w:r>
            <w:r>
              <w:rPr>
                <w:lang w:eastAsia="x-none"/>
              </w:rPr>
              <w:t>2</w:t>
            </w:r>
            <w:r>
              <w:rPr>
                <w:lang w:val="x-none" w:eastAsia="x-none"/>
              </w:rPr>
              <w:t xml:space="preserve"> к </w:t>
            </w:r>
            <w:r>
              <w:rPr>
                <w:lang w:eastAsia="x-none"/>
              </w:rPr>
              <w:t>положению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ind w:right="141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pacing w:before="0" w:after="0"/>
        <w:ind w:right="141" w:hanging="0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spacing w:before="0" w:after="0"/>
        <w:ind w:right="141" w:hanging="0"/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Форма протокола</w:t>
      </w:r>
    </w:p>
    <w:p>
      <w:pPr>
        <w:pStyle w:val="Normal"/>
        <w:spacing w:before="0" w:after="0"/>
        <w:ind w:right="141" w:hanging="0"/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заседания жюри конкурса по итогам проведения</w:t>
      </w:r>
    </w:p>
    <w:p>
      <w:pPr>
        <w:pStyle w:val="Normal"/>
        <w:spacing w:before="0" w:after="0"/>
        <w:ind w:right="141" w:hanging="0"/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литературного конкурса </w:t>
      </w:r>
      <w:r>
        <w:rPr>
          <w:rFonts w:eastAsia="Calibri"/>
          <w:color w:val="000000"/>
          <w:lang w:eastAsia="en-US"/>
        </w:rPr>
        <w:t>«Нижневартовск – гармония в многообразии»</w:t>
      </w:r>
    </w:p>
    <w:p>
      <w:pPr>
        <w:pStyle w:val="Normal"/>
        <w:spacing w:before="0" w:after="0"/>
        <w:ind w:right="141" w:hanging="0"/>
        <w:contextualSpacing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bCs/>
          <w:lang w:eastAsia="en-US"/>
        </w:rPr>
        <w:t>с</w:t>
      </w:r>
      <w:r>
        <w:rPr>
          <w:rFonts w:eastAsia="Calibri"/>
          <w:color w:val="000000"/>
          <w:lang w:eastAsia="en-US"/>
        </w:rPr>
        <w:t xml:space="preserve">реди обучающихся </w:t>
      </w:r>
      <w:r>
        <w:rPr>
          <w:rFonts w:eastAsia="Calibri"/>
          <w:bCs/>
          <w:lang w:eastAsia="en-US"/>
        </w:rPr>
        <w:t>общеобразовательных организаций, подведомственных департаменту образования администрации города Нижневартовска, в 2024 году</w:t>
      </w:r>
    </w:p>
    <w:p>
      <w:pPr>
        <w:pStyle w:val="Normal"/>
        <w:ind w:right="141" w:hanging="0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0"/>
        <w:gridCol w:w="7372"/>
      </w:tblGrid>
      <w:tr>
        <w:trPr/>
        <w:tc>
          <w:tcPr>
            <w:tcW w:w="2800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Название номинации:</w:t>
            </w:r>
          </w:p>
        </w:tc>
        <w:tc>
          <w:tcPr>
            <w:tcW w:w="737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Возрастная категория:</w:t>
            </w:r>
          </w:p>
        </w:tc>
        <w:tc>
          <w:tcPr>
            <w:tcW w:w="73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554" w:leader="none"/>
              </w:tabs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Дата заседания:</w:t>
            </w:r>
          </w:p>
        </w:tc>
        <w:tc>
          <w:tcPr>
            <w:tcW w:w="737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554" w:leader="none"/>
              </w:tabs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Присутствовали:</w:t>
            </w:r>
          </w:p>
        </w:tc>
        <w:tc>
          <w:tcPr>
            <w:tcW w:w="73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spacing w:before="0" w:after="0"/>
        <w:ind w:right="141" w:hanging="0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ind w:right="141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ПОВЕСТКА ДНЯ:</w:t>
      </w:r>
    </w:p>
    <w:p>
      <w:pPr>
        <w:pStyle w:val="Normal"/>
        <w:numPr>
          <w:ilvl w:val="0"/>
          <w:numId w:val="17"/>
        </w:numPr>
        <w:spacing w:before="0" w:after="0"/>
        <w:ind w:left="0" w:right="141" w:firstLine="709"/>
        <w:contextualSpacing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lang w:eastAsia="en-US"/>
        </w:rPr>
        <w:t xml:space="preserve">Подведение итогов </w:t>
      </w:r>
      <w:r>
        <w:rPr>
          <w:rFonts w:eastAsia="Calibri"/>
          <w:bCs/>
          <w:lang w:eastAsia="en-US"/>
        </w:rPr>
        <w:t xml:space="preserve">проведения литературного конкурса </w:t>
      </w:r>
      <w:r>
        <w:rPr>
          <w:rFonts w:eastAsia="Calibri"/>
          <w:color w:val="000000"/>
          <w:lang w:eastAsia="en-US"/>
        </w:rPr>
        <w:t>«Нижневартовск – гармония в многообразии»</w:t>
      </w:r>
      <w:r>
        <w:rPr>
          <w:rFonts w:eastAsia="Calibri"/>
          <w:b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среди </w:t>
      </w:r>
      <w:r>
        <w:rPr>
          <w:rFonts w:eastAsia="Calibri"/>
          <w:bCs/>
          <w:lang w:eastAsia="en-US"/>
        </w:rPr>
        <w:t>обучающихся общеобразовательных организаций, подведомственных департаменту образования администрации города Нижневартовска, в 2024 году (далее – конкурс).</w:t>
      </w:r>
    </w:p>
    <w:p>
      <w:pPr>
        <w:pStyle w:val="Normal"/>
        <w:numPr>
          <w:ilvl w:val="0"/>
          <w:numId w:val="18"/>
        </w:numPr>
        <w:tabs>
          <w:tab w:val="clear" w:pos="709"/>
          <w:tab w:val="left" w:pos="426" w:leader="none"/>
        </w:tabs>
        <w:spacing w:lineRule="auto" w:line="276"/>
        <w:ind w:left="0" w:right="141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победителей, призеров, номинантов конкурса</w:t>
      </w:r>
      <w:r>
        <w:rPr>
          <w:rFonts w:eastAsia="Calibri"/>
          <w:bCs/>
          <w:lang w:eastAsia="en-US"/>
        </w:rPr>
        <w:t>.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right="141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right="141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СЛУШАЛИ: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620"/>
        <w:gridCol w:w="6442"/>
      </w:tblGrid>
      <w:tr>
        <w:trPr>
          <w:trHeight w:val="872" w:hRule="atLeast"/>
        </w:trPr>
        <w:tc>
          <w:tcPr>
            <w:tcW w:w="362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ind w:left="0" w:right="141" w:hanging="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ФИО выступающего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ind w:left="0" w:right="141" w:hanging="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ФИО выступающего</w:t>
            </w:r>
          </w:p>
        </w:tc>
        <w:tc>
          <w:tcPr>
            <w:tcW w:w="644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Краткое содержание выступлений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Краткое содержание выступлений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right="141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Normal"/>
        <w:ind w:right="141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РЕШЕНИЕ:</w:t>
      </w:r>
    </w:p>
    <w:p>
      <w:pPr>
        <w:pStyle w:val="Normal"/>
        <w:numPr>
          <w:ilvl w:val="0"/>
          <w:numId w:val="13"/>
        </w:numPr>
        <w:spacing w:lineRule="auto" w:line="276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Утвердить итоги </w:t>
      </w:r>
      <w:r>
        <w:rPr>
          <w:rFonts w:eastAsia="Calibri"/>
          <w:bCs/>
          <w:lang w:eastAsia="en-US"/>
        </w:rPr>
        <w:t>конкурса</w:t>
      </w:r>
      <w:r>
        <w:rPr>
          <w:rFonts w:eastAsia="Calibri"/>
        </w:rPr>
        <w:t xml:space="preserve"> в соответствии с рейтинговыми списками участников конкурса в каждой номинации </w:t>
      </w:r>
      <w:r>
        <w:rPr>
          <w:rFonts w:eastAsia="Calibri"/>
          <w:lang w:eastAsia="en-US"/>
        </w:rPr>
        <w:t>(приложение 1).</w:t>
      </w:r>
    </w:p>
    <w:p>
      <w:pPr>
        <w:pStyle w:val="Normal"/>
        <w:numPr>
          <w:ilvl w:val="0"/>
          <w:numId w:val="13"/>
        </w:numPr>
        <w:tabs>
          <w:tab w:val="clear" w:pos="709"/>
          <w:tab w:val="left" w:pos="0" w:leader="none"/>
          <w:tab w:val="left" w:pos="284" w:leader="none"/>
        </w:tabs>
        <w:spacing w:lineRule="auto" w:line="276"/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Утвердить списки победителей, призеров, номинантов </w:t>
      </w:r>
      <w:r>
        <w:rPr>
          <w:rFonts w:eastAsia="Calibri"/>
          <w:bCs/>
          <w:lang w:eastAsia="en-US"/>
        </w:rPr>
        <w:t xml:space="preserve">конкурса </w:t>
      </w:r>
      <w:r>
        <w:rPr>
          <w:rFonts w:eastAsia="Calibri"/>
        </w:rPr>
        <w:t>в каждой номинации</w:t>
      </w:r>
      <w:r>
        <w:rPr>
          <w:rFonts w:eastAsia="Calibri"/>
          <w:bCs/>
          <w:lang w:eastAsia="en-US"/>
        </w:rPr>
        <w:t xml:space="preserve"> конкурса </w:t>
      </w:r>
      <w:r>
        <w:rPr>
          <w:rFonts w:eastAsia="Calibri"/>
          <w:lang w:eastAsia="en-US"/>
        </w:rPr>
        <w:t>(приложение 2).</w:t>
      </w:r>
    </w:p>
    <w:p>
      <w:pPr>
        <w:pStyle w:val="Normal"/>
        <w:numPr>
          <w:ilvl w:val="0"/>
          <w:numId w:val="13"/>
        </w:numPr>
        <w:tabs>
          <w:tab w:val="clear" w:pos="709"/>
          <w:tab w:val="left" w:pos="0" w:leader="none"/>
          <w:tab w:val="left" w:pos="284" w:leader="none"/>
        </w:tabs>
        <w:spacing w:lineRule="auto" w:line="276"/>
        <w:ind w:left="0" w:right="141" w:firstLine="709"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Направить настоящий протокол заседания жюри по итогам конкурса организатору конкурса МАУ г. Нижневартовска «ЦРО».</w:t>
      </w:r>
    </w:p>
    <w:p>
      <w:pPr>
        <w:pStyle w:val="Normal"/>
        <w:spacing w:before="0" w:after="0"/>
        <w:ind w:right="141" w:hanging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right="141" w:hang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Итоги голосования:</w:t>
      </w:r>
    </w:p>
    <w:tbl>
      <w:tblPr>
        <w:tblW w:w="28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10"/>
        <w:gridCol w:w="850"/>
      </w:tblGrid>
      <w:tr>
        <w:trPr/>
        <w:tc>
          <w:tcPr>
            <w:tcW w:w="2010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«за»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010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«против»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010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«воздержались»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spacing w:before="0" w:after="0"/>
        <w:ind w:right="141" w:hanging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558"/>
        <w:gridCol w:w="567"/>
        <w:gridCol w:w="3119"/>
      </w:tblGrid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Председатель жюри конкурса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Члены жюри конкурса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141" w:hanging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rPr/>
      </w:pPr>
      <w:r>
        <w:rPr/>
        <w:tab/>
        <w:tab/>
        <w:tab/>
        <w:tab/>
        <w:tab/>
        <w:tab/>
      </w:r>
    </w:p>
    <w:p>
      <w:pPr>
        <w:pStyle w:val="Normal"/>
        <w:ind w:left="5812" w:hanging="0"/>
        <w:jc w:val="right"/>
        <w:rPr/>
      </w:pPr>
      <w:r>
        <w:rPr/>
      </w:r>
    </w:p>
    <w:sectPr>
      <w:headerReference w:type="default" r:id="rId11"/>
      <w:type w:val="nextPage"/>
      <w:pgSz w:w="11906" w:h="16838"/>
      <w:pgMar w:left="1276" w:right="567" w:gutter="0" w:header="709" w:top="992" w:footer="0" w:bottom="709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5.%2."/>
      <w:lvlJc w:val="left"/>
      <w:pPr>
        <w:tabs>
          <w:tab w:val="num" w:pos="0"/>
        </w:tabs>
        <w:ind w:left="502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6.%2."/>
      <w:lvlJc w:val="left"/>
      <w:pPr>
        <w:tabs>
          <w:tab w:val="num" w:pos="0"/>
        </w:tabs>
        <w:ind w:left="644" w:hanging="360"/>
      </w:pPr>
      <w:rPr>
        <w:sz w:val="24"/>
        <w:szCs w:val="24"/>
        <w:color w:val="auto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5"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1065" w:hanging="70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6314" w:hanging="360"/>
      </w:pPr>
      <w:rPr>
        <w:b w:val="false"/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77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84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91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99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106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13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2074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6314" w:hanging="360"/>
      </w:pPr>
      <w:rPr>
        <w:b w:val="false"/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77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84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91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99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106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13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2074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4"/>
    <w:lvlOverride w:ilvl="0">
      <w:startOverride w:val="1"/>
    </w:lvlOverride>
  </w:num>
  <w:num w:numId="18">
    <w:abstractNumId w:val="14"/>
  </w:num>
</w:numbering>
</file>

<file path=word/settings.xml><?xml version="1.0" encoding="utf-8"?>
<w:settings xmlns:w="http://schemas.openxmlformats.org/wordprocessingml/2006/main">
  <w:zoom w:percent="124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semiHidden="0" w:unhideWhenUsed="0" w:qFormat="1"/>
    <w:lsdException w:name="heading 8" w:locked="1" w:uiPriority="0" w:semiHidden="0" w:unhideWhenUsed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22" w:semiHidden="0" w:unhideWhenUsed="0" w:qFormat="1"/>
    <w:lsdException w:name="Emphasis" w:locked="1" w:uiPriority="2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6a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520133"/>
    <w:pPr>
      <w:keepNext w:val="true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2"/>
    <w:uiPriority w:val="99"/>
    <w:qFormat/>
    <w:locked/>
    <w:rsid w:val="007e7350"/>
    <w:pPr>
      <w:keepNext w:val="true"/>
      <w:spacing w:before="240" w:after="60"/>
      <w:outlineLvl w:val="1"/>
    </w:pPr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Normal"/>
    <w:next w:val="Normal"/>
    <w:link w:val="32"/>
    <w:uiPriority w:val="99"/>
    <w:qFormat/>
    <w:locked/>
    <w:rsid w:val="007e7350"/>
    <w:pPr>
      <w:keepNext w:val="true"/>
      <w:spacing w:before="240" w:after="60"/>
      <w:ind w:right="57" w:hanging="0"/>
      <w:jc w:val="both"/>
      <w:outlineLvl w:val="2"/>
    </w:pPr>
    <w:rPr>
      <w:rFonts w:ascii="Cambria" w:hAnsi="Cambria" w:eastAsia="Calibri"/>
      <w:b/>
      <w:bCs/>
      <w:sz w:val="26"/>
      <w:szCs w:val="26"/>
      <w:lang w:val="x-none" w:eastAsia="en-US"/>
    </w:rPr>
  </w:style>
  <w:style w:type="paragraph" w:styleId="4">
    <w:name w:val="Heading 4"/>
    <w:basedOn w:val="Normal"/>
    <w:next w:val="Normal"/>
    <w:link w:val="41"/>
    <w:unhideWhenUsed/>
    <w:qFormat/>
    <w:locked/>
    <w:rsid w:val="007e7350"/>
    <w:pPr>
      <w:keepNext w:val="true"/>
      <w:spacing w:before="240" w:after="60"/>
      <w:ind w:right="57" w:hanging="0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Normal"/>
    <w:next w:val="Normal"/>
    <w:link w:val="51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Normal"/>
    <w:next w:val="Normal"/>
    <w:link w:val="71"/>
    <w:uiPriority w:val="99"/>
    <w:qFormat/>
    <w:rsid w:val="00520133"/>
    <w:pPr>
      <w:keepNext w:val="true"/>
      <w:jc w:val="center"/>
      <w:outlineLvl w:val="6"/>
    </w:pPr>
    <w:rPr>
      <w:rFonts w:ascii="Calibri" w:hAnsi="Calibri"/>
    </w:rPr>
  </w:style>
  <w:style w:type="paragraph" w:styleId="8">
    <w:name w:val="Heading 8"/>
    <w:basedOn w:val="Normal"/>
    <w:next w:val="Normal"/>
    <w:link w:val="81"/>
    <w:uiPriority w:val="99"/>
    <w:qFormat/>
    <w:rsid w:val="00520133"/>
    <w:pPr>
      <w:keepNext w:val="true"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Normal"/>
    <w:next w:val="Normal"/>
    <w:link w:val="91"/>
    <w:semiHidden/>
    <w:unhideWhenUsed/>
    <w:qFormat/>
    <w:locked/>
    <w:rsid w:val="007e7350"/>
    <w:pPr>
      <w:spacing w:before="240" w:after="60"/>
      <w:ind w:right="57" w:hanging="0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styleId="51" w:customStyle="1">
    <w:name w:val="Заголовок 5 Знак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styleId="71" w:customStyle="1">
    <w:name w:val="Заголовок 7 Знак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styleId="81" w:customStyle="1">
    <w:name w:val="Заголовок 8 Знак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styleId="Style6" w:customStyle="1">
    <w:name w:val="Основной текст с отступом Знак"/>
    <w:uiPriority w:val="99"/>
    <w:qFormat/>
    <w:locked/>
    <w:rsid w:val="00520133"/>
    <w:rPr>
      <w:rFonts w:cs="Times New Roman"/>
      <w:sz w:val="24"/>
      <w:szCs w:val="24"/>
    </w:rPr>
  </w:style>
  <w:style w:type="character" w:styleId="Style7" w:customStyle="1">
    <w:name w:val="Основной текст Знак"/>
    <w:uiPriority w:val="99"/>
    <w:qFormat/>
    <w:locked/>
    <w:rsid w:val="000418dd"/>
    <w:rPr>
      <w:rFonts w:cs="Times New Roman"/>
      <w:sz w:val="24"/>
      <w:szCs w:val="24"/>
    </w:rPr>
  </w:style>
  <w:style w:type="character" w:styleId="-">
    <w:name w:val="Hyperlink"/>
    <w:uiPriority w:val="99"/>
    <w:rsid w:val="00bf57d4"/>
    <w:rPr>
      <w:rFonts w:cs="Times New Roman"/>
      <w:color w:val="0000FF"/>
      <w:u w:val="single"/>
    </w:rPr>
  </w:style>
  <w:style w:type="character" w:styleId="Style8" w:customStyle="1">
    <w:name w:val="Верх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Style9" w:customStyle="1">
    <w:name w:val="Ниж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21" w:customStyle="1">
    <w:name w:val="Основной текст с отступом 2 Знак"/>
    <w:link w:val="BodyTextIndent2"/>
    <w:uiPriority w:val="99"/>
    <w:qFormat/>
    <w:rsid w:val="0017777c"/>
    <w:rPr>
      <w:sz w:val="24"/>
      <w:szCs w:val="24"/>
    </w:rPr>
  </w:style>
  <w:style w:type="character" w:styleId="Style10" w:customStyle="1">
    <w:name w:val="Текст выноски Знак"/>
    <w:link w:val="BalloonText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styleId="31" w:customStyle="1">
    <w:name w:val="Основной текст с отступом 3 Знак"/>
    <w:link w:val="BodyTextIndent3"/>
    <w:uiPriority w:val="99"/>
    <w:semiHidden/>
    <w:qFormat/>
    <w:rsid w:val="00e346f0"/>
    <w:rPr>
      <w:sz w:val="16"/>
      <w:szCs w:val="16"/>
    </w:rPr>
  </w:style>
  <w:style w:type="character" w:styleId="22" w:customStyle="1">
    <w:name w:val="Заголовок 2 Знак"/>
    <w:uiPriority w:val="99"/>
    <w:qFormat/>
    <w:rsid w:val="007e7350"/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character" w:styleId="32" w:customStyle="1">
    <w:name w:val="Заголовок 3 Знак"/>
    <w:uiPriority w:val="99"/>
    <w:qFormat/>
    <w:rsid w:val="007e7350"/>
    <w:rPr>
      <w:rFonts w:ascii="Cambria" w:hAnsi="Cambria" w:eastAsia="Calibri"/>
      <w:b/>
      <w:bCs/>
      <w:sz w:val="26"/>
      <w:szCs w:val="26"/>
      <w:lang w:val="x-none" w:eastAsia="en-US"/>
    </w:rPr>
  </w:style>
  <w:style w:type="character" w:styleId="41" w:customStyle="1">
    <w:name w:val="Заголовок 4 Знак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styleId="91" w:customStyle="1">
    <w:name w:val="Заголовок 9 Знак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styleId="Style11" w:customStyle="1">
    <w:name w:val="Текст примечания Знак"/>
    <w:link w:val="Annotationtext"/>
    <w:uiPriority w:val="99"/>
    <w:semiHidden/>
    <w:qFormat/>
    <w:rsid w:val="007e7350"/>
    <w:rPr>
      <w:sz w:val="24"/>
      <w:szCs w:val="24"/>
      <w:lang w:val="x-none" w:eastAsia="x-none"/>
    </w:rPr>
  </w:style>
  <w:style w:type="character" w:styleId="Style12" w:customStyle="1">
    <w:name w:val="Название Знак"/>
    <w:uiPriority w:val="99"/>
    <w:qFormat/>
    <w:rsid w:val="007e7350"/>
    <w:rPr>
      <w:b/>
      <w:bCs/>
      <w:lang w:val="x-none" w:eastAsia="x-none"/>
    </w:rPr>
  </w:style>
  <w:style w:type="character" w:styleId="Strong">
    <w:name w:val="Strong"/>
    <w:uiPriority w:val="22"/>
    <w:qFormat/>
    <w:locked/>
    <w:rsid w:val="007e7350"/>
    <w:rPr>
      <w:rFonts w:cs="Times New Roman"/>
      <w:b/>
    </w:rPr>
  </w:style>
  <w:style w:type="character" w:styleId="Style13" w:customStyle="1">
    <w:name w:val="Обычный (веб) Знак"/>
    <w:link w:val="NormalWeb"/>
    <w:uiPriority w:val="99"/>
    <w:qFormat/>
    <w:locked/>
    <w:rsid w:val="007e7350"/>
    <w:rPr>
      <w:sz w:val="24"/>
      <w:lang w:val="x-none" w:eastAsia="x-none"/>
    </w:rPr>
  </w:style>
  <w:style w:type="character" w:styleId="Apple-converted-space" w:customStyle="1">
    <w:name w:val="apple-converted-space"/>
    <w:qFormat/>
    <w:rsid w:val="007e7350"/>
    <w:rPr/>
  </w:style>
  <w:style w:type="character" w:styleId="Style14">
    <w:name w:val="Emphasis"/>
    <w:uiPriority w:val="20"/>
    <w:qFormat/>
    <w:locked/>
    <w:rsid w:val="007e7350"/>
    <w:rPr>
      <w:i/>
      <w:iCs/>
    </w:rPr>
  </w:style>
  <w:style w:type="character" w:styleId="Ff3" w:customStyle="1">
    <w:name w:val="ff3"/>
    <w:qFormat/>
    <w:rsid w:val="007e7350"/>
    <w:rPr/>
  </w:style>
  <w:style w:type="character" w:styleId="SubtleEmphasis">
    <w:name w:val="Subtle Emphasis"/>
    <w:uiPriority w:val="19"/>
    <w:qFormat/>
    <w:rsid w:val="007e7350"/>
    <w:rPr>
      <w:i/>
      <w:iCs/>
      <w:color w:val="808080"/>
    </w:rPr>
  </w:style>
  <w:style w:type="character" w:styleId="Style15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Annotationreference">
    <w:name w:val="annotation reference"/>
    <w:uiPriority w:val="99"/>
    <w:semiHidden/>
    <w:unhideWhenUsed/>
    <w:qFormat/>
    <w:rsid w:val="007e7350"/>
    <w:rPr>
      <w:rFonts w:ascii="Times New Roman" w:hAnsi="Times New Roman"/>
      <w:b w:val="false"/>
      <w:i w:val="false"/>
      <w:caps w:val="false"/>
      <w:smallCaps w:val="false"/>
      <w:strike w:val="false"/>
      <w:dstrike w:val="false"/>
      <w:vanish w:val="false"/>
      <w:color w:val="auto"/>
      <w:position w:val="0"/>
      <w:sz w:val="24"/>
      <w:sz w:val="24"/>
      <w:szCs w:val="1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Style16" w:customStyle="1">
    <w:name w:val="Тема примечания Знак"/>
    <w:link w:val="Annotationsubject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styleId="Style17" w:customStyle="1">
    <w:name w:val="Текст сноски Знак"/>
    <w:uiPriority w:val="99"/>
    <w:semiHidden/>
    <w:qFormat/>
    <w:rsid w:val="007e7350"/>
    <w:rPr>
      <w:rFonts w:eastAsia="Calibri"/>
      <w:lang w:eastAsia="en-US"/>
    </w:rPr>
  </w:style>
  <w:style w:type="character" w:styleId="Style18" w:customStyle="1">
    <w:name w:val="Символ сноски"/>
    <w:uiPriority w:val="99"/>
    <w:semiHidden/>
    <w:unhideWhenUsed/>
    <w:qFormat/>
    <w:rsid w:val="007e7350"/>
    <w:rPr>
      <w:vertAlign w:val="superscript"/>
    </w:rPr>
  </w:style>
  <w:style w:type="character" w:styleId="Style19">
    <w:name w:val="Footnote Reference"/>
    <w:rPr>
      <w:vertAlign w:val="superscript"/>
    </w:rPr>
  </w:style>
  <w:style w:type="character" w:styleId="Mdash" w:customStyle="1">
    <w:name w:val="mdash"/>
    <w:qFormat/>
    <w:rsid w:val="007e7350"/>
    <w:rPr/>
  </w:style>
  <w:style w:type="character" w:styleId="HTMLCode">
    <w:name w:val="HTML Code"/>
    <w:uiPriority w:val="99"/>
    <w:semiHidden/>
    <w:unhideWhenUsed/>
    <w:qFormat/>
    <w:rsid w:val="007e7350"/>
    <w:rPr>
      <w:rFonts w:ascii="Courier New" w:hAnsi="Courier New" w:eastAsia="Times New Roman" w:cs="Courier New"/>
      <w:sz w:val="20"/>
      <w:szCs w:val="20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link w:val="Style7"/>
    <w:uiPriority w:val="99"/>
    <w:rsid w:val="000418dd"/>
    <w:pPr>
      <w:spacing w:before="0" w:after="12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5">
    <w:name w:val="Body Text Indent"/>
    <w:basedOn w:val="Normal"/>
    <w:link w:val="Style6"/>
    <w:uiPriority w:val="99"/>
    <w:rsid w:val="00520133"/>
    <w:pPr>
      <w:ind w:firstLine="708"/>
      <w:jc w:val="both"/>
    </w:pPr>
    <w:rPr/>
  </w:style>
  <w:style w:type="paragraph" w:styleId="Style26" w:customStyle="1">
    <w:name w:val="Колонтитул"/>
    <w:basedOn w:val="Normal"/>
    <w:qFormat/>
    <w:pPr/>
    <w:rPr/>
  </w:style>
  <w:style w:type="paragraph" w:styleId="Style27">
    <w:name w:val="Header"/>
    <w:basedOn w:val="Normal"/>
    <w:link w:val="Style8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Style9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uiPriority w:val="99"/>
    <w:qFormat/>
    <w:rsid w:val="000568f5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ed22e1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1"/>
    <w:uiPriority w:val="99"/>
    <w:semiHidden/>
    <w:unhideWhenUsed/>
    <w:qFormat/>
    <w:rsid w:val="00e346f0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Style11"/>
    <w:uiPriority w:val="99"/>
    <w:semiHidden/>
    <w:qFormat/>
    <w:rsid w:val="007e7350"/>
    <w:pPr/>
    <w:rPr>
      <w:lang w:val="x-none" w:eastAsia="x-none"/>
    </w:rPr>
  </w:style>
  <w:style w:type="paragraph" w:styleId="Style29">
    <w:name w:val="Title"/>
    <w:basedOn w:val="Normal"/>
    <w:link w:val="Style12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link w:val="Style1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e7350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7e7350"/>
    <w:pPr>
      <w:widowControl/>
      <w:suppressAutoHyphens w:val="true"/>
      <w:bidi w:val="0"/>
      <w:spacing w:before="0" w:after="0"/>
      <w:ind w:right="57" w:hanging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7e7350"/>
    <w:pPr>
      <w:ind w:right="57" w:hanging="0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styleId="ConsPlusNormal" w:customStyle="1">
    <w:name w:val="ConsPlusNormal"/>
    <w:qFormat/>
    <w:rsid w:val="007e735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30">
    <w:name w:val="Footnote Text"/>
    <w:basedOn w:val="Normal"/>
    <w:link w:val="Style17"/>
    <w:uiPriority w:val="99"/>
    <w:semiHidden/>
    <w:unhideWhenUsed/>
    <w:rsid w:val="007e7350"/>
    <w:pPr>
      <w:ind w:right="57" w:hanging="0"/>
      <w:jc w:val="both"/>
    </w:pPr>
    <w:rPr>
      <w:rFonts w:eastAsia="Calibri"/>
      <w:sz w:val="20"/>
      <w:szCs w:val="20"/>
      <w:lang w:eastAsia="en-US"/>
    </w:rPr>
  </w:style>
  <w:style w:type="paragraph" w:styleId="33" w:customStyle="1">
    <w:name w:val="Основной текст3"/>
    <w:basedOn w:val="Normal"/>
    <w:qFormat/>
    <w:rsid w:val="007e7350"/>
    <w:pPr>
      <w:widowControl w:val="false"/>
      <w:shd w:val="clear" w:color="auto" w:fill="FFFFFF"/>
      <w:spacing w:lineRule="atLeast" w:line="0" w:before="120" w:after="120"/>
      <w:jc w:val="center"/>
    </w:pPr>
    <w:rPr>
      <w:spacing w:val="1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7e7350"/>
  </w:style>
  <w:style w:type="numbering" w:styleId="23" w:customStyle="1">
    <w:name w:val="Нет списка2"/>
    <w:uiPriority w:val="99"/>
    <w:semiHidden/>
    <w:unhideWhenUsed/>
    <w:qFormat/>
    <w:rsid w:val="008a573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2b44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-nv.ru/" TargetMode="External"/><Relationship Id="rId3" Type="http://schemas.openxmlformats.org/officeDocument/2006/relationships/hyperlink" Target="https://edu-nv.ru/" TargetMode="External"/><Relationship Id="rId4" Type="http://schemas.openxmlformats.org/officeDocument/2006/relationships/hyperlink" Target="https://edu-nv.ru/" TargetMode="External"/><Relationship Id="rId5" Type="http://schemas.openxmlformats.org/officeDocument/2006/relationships/hyperlink" Target="mailto:omsdo@mail.ru" TargetMode="External"/><Relationship Id="rId6" Type="http://schemas.openxmlformats.org/officeDocument/2006/relationships/hyperlink" Target="https://edu-nv.ru/" TargetMode="External"/><Relationship Id="rId7" Type="http://schemas.openxmlformats.org/officeDocument/2006/relationships/hyperlink" Target="https://edu-nv.ru/" TargetMode="External"/><Relationship Id="rId8" Type="http://schemas.openxmlformats.org/officeDocument/2006/relationships/hyperlink" Target="https://edu-nv.ru/" TargetMode="External"/><Relationship Id="rId9" Type="http://schemas.openxmlformats.org/officeDocument/2006/relationships/hyperlink" Target="http://tolkslovar.ru/s5916.html" TargetMode="External"/><Relationship Id="rId10" Type="http://schemas.openxmlformats.org/officeDocument/2006/relationships/hyperlink" Target="https://edu-nv.ru/" TargetMode="External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E137-5C2F-4BDA-8C24-2BF716FA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Application>LibreOffice/7.5.2.2$Windows_X86_64 LibreOffice_project/53bb9681a964705cf672590721dbc85eb4d0c3a2</Application>
  <AppVersion>15.0000</AppVersion>
  <Pages>8</Pages>
  <Words>2306</Words>
  <Characters>16967</Characters>
  <CharactersWithSpaces>19045</CharactersWithSpaces>
  <Paragraphs>210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2023-03-20T09:37:00Z</dcterms:created>
  <dc:creator>Захаренко</dc:creator>
  <dc:description/>
  <dc:language>ru-RU</dc:language>
  <cp:lastModifiedBy/>
  <cp:lastPrinted>2016-04-05T06:28:00Z</cp:lastPrinted>
  <dcterms:modified xsi:type="dcterms:W3CDTF">2024-04-03T09:40:02Z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