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Экспертный лист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«Педагог-наставник»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end"/>
        <w:rPr/>
      </w:pPr>
      <w:r>
        <w:rPr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претендента: ______________________________________________________________________________________________ </w:t>
      </w:r>
    </w:p>
    <w:p>
      <w:pPr>
        <w:pStyle w:val="Normal"/>
        <w:bidi w:val="0"/>
        <w:jc w:val="start"/>
        <w:rPr>
          <w:b/>
        </w:rPr>
      </w:pPr>
      <w:r>
        <w:rPr>
          <w:b/>
        </w:rPr>
      </w:r>
    </w:p>
    <w:tbl>
      <w:tblPr>
        <w:tblW w:w="1456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6"/>
        <w:gridCol w:w="11674"/>
        <w:gridCol w:w="851"/>
        <w:gridCol w:w="1384"/>
      </w:tblGrid>
      <w:tr>
        <w:trPr>
          <w:tblHeader w:val="true"/>
          <w:trHeight w:val="460" w:hRule="atLeas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критериев и показателей критериев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 балл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эксперта</w:t>
            </w:r>
          </w:p>
        </w:tc>
      </w:tr>
      <w:tr>
        <w:trPr>
          <w:trHeight w:val="62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2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Реализация модели (практики, технологии) наставничества, имеющей положительное заключение по итогам апробации в профессиональном сообществе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26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модели (практики, технологии) наставничества: уникальность, результативность, эффективность реализуемой модели (практики, технологии) (непрерывное профессиональное развитие наставляемого, например, повышение квалификационной категории наставляемого)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9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публикаций: список опубликованных работ, в том числе направленных на продвижение наставнических практик, развитие наставнических компетенций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8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опыта педагога-наставника по реализации модели (практики, технологии) наставничества (в форме регулярных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3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последователей, т.е. коллег, реализующих модель (практику, технологию) данного педагога или активно использующих отдельные ее элементы.</w:t>
            </w:r>
          </w:p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3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/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Эффективное использование различных образовательных технологий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44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наставляемым современных образовательных технологий (проектных, исследовательских, информационно-коммуникационных, здоровьесберегающих технологий и др.), в том числе, реализуемых педагогом-наставником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31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Положительная динамика уровня обученности обучающихся наставляемого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35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Положительная динамика «качества знаний» обучающихся наставляемого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5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Создание педагогом условий для адресной работы с различными категориями обучающихся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6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педагогом-наставником условий для работы с одаренными детьми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5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педагогом-наставником условий для работы с детьми из семей мигрантов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8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педагогом-наставником условий для работы с детьми-сиротами и детьми, оставшимися без попечения родителей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педагогом-наставником условий для работы с детьми-инвалидами и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98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t>педагогом-наставником</w:t>
            </w:r>
            <w:r>
              <w:rPr>
                <w:bCs/>
                <w:sz w:val="22"/>
                <w:szCs w:val="22"/>
              </w:rPr>
              <w:t xml:space="preserve"> условий для работы с детьми из социально неблагополучных семей и детьми, попавшими в трудные жизненные ситуации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3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t>педагогом-наставником</w:t>
            </w:r>
            <w:r>
              <w:rPr>
                <w:bCs/>
                <w:sz w:val="22"/>
                <w:szCs w:val="22"/>
              </w:rPr>
              <w:t xml:space="preserve"> условий для работы с детьми с девиантным (общественно опасным) поведением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0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адресных программ для разных категорий обучающихся, указанных в п.п. 2.1 – 2.6, реализуемых наставляемым педагогом, разработанных под руководством педагога-наставника</w:t>
            </w:r>
          </w:p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разработанных под руководством педагога-наставника реализуемых наставляемым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Непрерывность профессионального развития педагога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(последнее – не ранее чем за 3 года до данного отбора) с указанием количества часов и наименований программ повышения квалификации, дополнительное образование (смежным специальностям), профессиональные и научные стажировки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участие в обучающих и научно-практических семинарах, курсах, конференциях разного уровня (спецкурсы, стажировки, вебинары, онлайн-консультирование, мастер-классы, дискуссионные площадки, круглые столы, индивидуальный план профессионального развития и др.) за последние 3 года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Результативность участия в муниципальных, региональных и федеральных конкурсах профессионального мастерства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в аспирантуре (или докторантуре) в период проведения отбора или наличие ученой степени, звания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государственных и ведомственных наград и поощрений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13" w:hRule="atLeas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Удовлетворенность участников образовательного процесса деятельностью претендента не ниже 95%, подтвержденная результатами анкетирования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Соответствует требованиям Положения </w:t>
            </w:r>
            <w:r>
              <w:rPr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95% до 100%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удовлетворенности – от 70% до 95%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удовлетворенности - от 50% до 70%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1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 уровень удовлетворенности - ниже 50%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3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Эксперт ______________/ ________________</w:t>
        <w:tab/>
        <w:tab/>
        <w:t xml:space="preserve">                  </w:t>
        <w:tab/>
        <w:tab/>
        <w:t xml:space="preserve">Дата: «____» _________ 2025 </w:t>
        <w:tab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LibreOffice/25.8.1.1$Linux_X86_64 LibreOffice_project/54047653041915e595ad4e45cccea684809c77b5</Application>
  <AppVersion>15.0000</AppVersion>
  <Pages>2</Pages>
  <Words>480</Words>
  <Characters>3758</Characters>
  <CharactersWithSpaces>4167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2025-10-07T15:38:11Z</dcterms:created>
  <dc:creator/>
  <dc:description/>
  <dc:language>ru-RU</dc:language>
  <cp:lastModifiedBy/>
  <dcterms:modified xsi:type="dcterms:W3CDTF">2025-10-07T15:39:00Z</dcterms:modified>
  <cp:revision>1</cp:revision>
  <dc:subject/>
  <dc:title/>
</cp:coreProperties>
</file>