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1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Предварительный перечень компетенций и наименование площадок проведения</w:t>
      </w:r>
      <w:r>
        <w:rPr>
          <w:b/>
          <w:bCs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>Чемпионата по профессиональному мастерству «Профессионалы»</w:t>
      </w:r>
      <w:r>
        <w:rPr/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>(категория «Юниоры») в 2024 году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818"/>
        <w:tblW w:w="9954" w:type="dxa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41"/>
        <w:gridCol w:w="2410"/>
        <w:gridCol w:w="3543"/>
        <w:gridCol w:w="3259"/>
      </w:tblGrid>
      <w:tr>
        <w:trPr/>
        <w:tc>
          <w:tcPr>
            <w:tcW w:w="74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Наименование компетенции</w:t>
            </w:r>
          </w:p>
        </w:tc>
        <w:tc>
          <w:tcPr>
            <w:tcW w:w="354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Наименование площадки проведения</w:t>
            </w:r>
          </w:p>
        </w:tc>
        <w:tc>
          <w:tcPr>
            <w:tcW w:w="32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Действующая компетенция (2023)/Планируется в 2024 году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410" w:type="dxa"/>
            <w:tcBorders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Веб-технологии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(Юниоры)</w:t>
            </w:r>
          </w:p>
        </w:tc>
        <w:tc>
          <w:tcPr>
            <w:tcW w:w="3543" w:type="dxa"/>
            <w:tcBorders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БУ «Советский политехнический колледж»</w:t>
            </w:r>
          </w:p>
        </w:tc>
        <w:tc>
          <w:tcPr>
            <w:tcW w:w="3259" w:type="dxa"/>
            <w:tcBorders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Действующая компетенция (2023)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Сетевое и системное администрирование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(2 конкурсанта)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(Юниоры)</w:t>
            </w:r>
          </w:p>
        </w:tc>
        <w:tc>
          <w:tcPr>
            <w:tcW w:w="3543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АУ «Сургутский политехнический колледж»</w:t>
            </w:r>
          </w:p>
        </w:tc>
        <w:tc>
          <w:tcPr>
            <w:tcW w:w="3259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Действующая компетенция (2023)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Графический дизайн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(Юниоры)</w:t>
            </w:r>
          </w:p>
        </w:tc>
        <w:tc>
          <w:tcPr>
            <w:tcW w:w="3543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БУ «Советский политехнический колледж»</w:t>
            </w:r>
          </w:p>
        </w:tc>
        <w:tc>
          <w:tcPr>
            <w:tcW w:w="3259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Действующая компетенция (2023)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Медицинский и социальный уход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(Юниоры)</w:t>
            </w:r>
          </w:p>
        </w:tc>
        <w:tc>
          <w:tcPr>
            <w:tcW w:w="3543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БУ ВО «Сургутский государственный университет ХМАО-Югры» Медицинский колледж</w:t>
            </w:r>
          </w:p>
        </w:tc>
        <w:tc>
          <w:tcPr>
            <w:tcW w:w="3259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Действующая компетенция (2023)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Дошкольное воспитание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(Юниоры)</w:t>
            </w:r>
          </w:p>
        </w:tc>
        <w:tc>
          <w:tcPr>
            <w:tcW w:w="3543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АУ «Ханты-Мансийский технолого-педагогический колледж»</w:t>
            </w:r>
          </w:p>
        </w:tc>
        <w:tc>
          <w:tcPr>
            <w:tcW w:w="3259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Действующая компетенция (2023)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Преподавание в младших классах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(Юниоры)</w:t>
            </w:r>
          </w:p>
        </w:tc>
        <w:tc>
          <w:tcPr>
            <w:tcW w:w="3543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АУ «Ханты-Мансийский технолого-педагогический колледж»</w:t>
            </w:r>
          </w:p>
        </w:tc>
        <w:tc>
          <w:tcPr>
            <w:tcW w:w="3259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Действующая компетенция (2023)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Изготовление прототипов (Аддитивное производство)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(2 конкурсанта)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(Юниоры)</w:t>
            </w:r>
          </w:p>
        </w:tc>
        <w:tc>
          <w:tcPr>
            <w:tcW w:w="3543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АУ «Сургутский политехнический колледж</w:t>
            </w:r>
          </w:p>
        </w:tc>
        <w:tc>
          <w:tcPr>
            <w:tcW w:w="3259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Действующая компетенция (2023)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Сити-Фермерство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(Юниоры)</w:t>
            </w:r>
          </w:p>
        </w:tc>
        <w:tc>
          <w:tcPr>
            <w:tcW w:w="3543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БУ «Междуреченский агропромышленный колледж»</w:t>
            </w:r>
          </w:p>
        </w:tc>
        <w:tc>
          <w:tcPr>
            <w:tcW w:w="3259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Действующая компетенция (2023)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Лабораторный химический анализ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(Юниоры)</w:t>
            </w:r>
          </w:p>
        </w:tc>
        <w:tc>
          <w:tcPr>
            <w:tcW w:w="3543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МАОУ ДО «Технополис» г.Сургут (планируется новая площадка проведения)</w:t>
            </w:r>
          </w:p>
        </w:tc>
        <w:tc>
          <w:tcPr>
            <w:tcW w:w="3259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Действующая компетенция (2023)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Машинное обучение и большие данные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(Юниоры)</w:t>
            </w:r>
          </w:p>
        </w:tc>
        <w:tc>
          <w:tcPr>
            <w:tcW w:w="3543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МАОУ ДО «Технополис» г.Сургут (планируется новая площадка проведения)</w:t>
            </w:r>
          </w:p>
        </w:tc>
        <w:tc>
          <w:tcPr>
            <w:tcW w:w="3259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Действующая компетенция (2023)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Мобильная робототехника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(2 конкурсанта)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(Юниоры)</w:t>
            </w:r>
          </w:p>
        </w:tc>
        <w:tc>
          <w:tcPr>
            <w:tcW w:w="3543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МАОУ ДО «Технополис» г.Сургут (планируется новая площадка проведения)</w:t>
            </w:r>
          </w:p>
        </w:tc>
        <w:tc>
          <w:tcPr>
            <w:tcW w:w="3259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Действующая компетенция (2023)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cs="Arial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Администрирование отеля (Юниоры)</w:t>
            </w:r>
          </w:p>
        </w:tc>
        <w:tc>
          <w:tcPr>
            <w:tcW w:w="3543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firstLine="34"/>
              <w:jc w:val="left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cs="Arial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АУ «Ханты-Мансийский технолого-педагогический колледж»</w:t>
            </w:r>
          </w:p>
        </w:tc>
        <w:tc>
          <w:tcPr>
            <w:tcW w:w="3259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Планируется в 2024 году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Вожатская деятельность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cs="Arial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(2 конкурсанта)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eastAsia="Times New Roman" w:cs="Arial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(Юниоры)</w:t>
            </w:r>
          </w:p>
        </w:tc>
        <w:tc>
          <w:tcPr>
            <w:tcW w:w="3543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firstLine="34"/>
              <w:jc w:val="left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cs="Arial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АУ «Ханты-Мансийский технолого-педагогический колледж»</w:t>
            </w:r>
          </w:p>
        </w:tc>
        <w:tc>
          <w:tcPr>
            <w:tcW w:w="3259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Планируется в 2024 году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Геопространственные технологии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cs="Arial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(2 конкурсанта)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eastAsia="Times New Roman" w:cs="Arial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(Юниоры)</w:t>
            </w:r>
          </w:p>
        </w:tc>
        <w:tc>
          <w:tcPr>
            <w:tcW w:w="3543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firstLine="34"/>
              <w:jc w:val="left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cs="Arial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АУ «Ханты-Мансийский технолого-педагогический колледж»</w:t>
            </w:r>
          </w:p>
        </w:tc>
        <w:tc>
          <w:tcPr>
            <w:tcW w:w="3259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Планируется в 2024 году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cs="Arial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Дизайн интерьера (Юниоры)</w:t>
            </w:r>
          </w:p>
        </w:tc>
        <w:tc>
          <w:tcPr>
            <w:tcW w:w="3543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firstLine="34"/>
              <w:jc w:val="left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cs="Arial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АНПОО «Сургутский институт экономики, управления и права»</w:t>
            </w:r>
          </w:p>
        </w:tc>
        <w:tc>
          <w:tcPr>
            <w:tcW w:w="3259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Планируется в 2024 году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cs="Arial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Дополнительное образование детей и взрослых (Юниоры)</w:t>
            </w:r>
          </w:p>
        </w:tc>
        <w:tc>
          <w:tcPr>
            <w:tcW w:w="3543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firstLine="34"/>
              <w:jc w:val="left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cs="Arial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АНПОО «Сургутский институт экономики, управления и права»</w:t>
            </w:r>
          </w:p>
        </w:tc>
        <w:tc>
          <w:tcPr>
            <w:tcW w:w="3259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Планируется в 2024 году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cs="Arial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Инженерный дизайн САПР (Юниоры)</w:t>
            </w:r>
          </w:p>
        </w:tc>
        <w:tc>
          <w:tcPr>
            <w:tcW w:w="3543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firstLine="34"/>
              <w:jc w:val="left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cs="Arial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АУ «Сургутский политехнический колледж»</w:t>
            </w:r>
          </w:p>
        </w:tc>
        <w:tc>
          <w:tcPr>
            <w:tcW w:w="3259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Планируется в 2024 году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18</w:t>
            </w:r>
          </w:p>
        </w:tc>
        <w:tc>
          <w:tcPr>
            <w:tcW w:w="2410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cs="Arial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Лечебная деятельность (Фельдшер) (Юниоры)</w:t>
            </w:r>
          </w:p>
        </w:tc>
        <w:tc>
          <w:tcPr>
            <w:tcW w:w="3543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firstLine="34"/>
              <w:jc w:val="left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cs="Arial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БУ «Сургутский государственный университет», медицинский колледж</w:t>
            </w:r>
          </w:p>
        </w:tc>
        <w:tc>
          <w:tcPr>
            <w:tcW w:w="3259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Планируется в 2024 году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19</w:t>
            </w:r>
          </w:p>
        </w:tc>
        <w:tc>
          <w:tcPr>
            <w:tcW w:w="2410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Мехатроника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cs="Arial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(2 конкурсанта)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eastAsia="Times New Roman" w:cs="Arial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(Юниоры)</w:t>
            </w:r>
          </w:p>
        </w:tc>
        <w:tc>
          <w:tcPr>
            <w:tcW w:w="3543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firstLine="34"/>
              <w:jc w:val="left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cs="Arial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АУ «Сургутский политехнический колледж»</w:t>
            </w:r>
          </w:p>
        </w:tc>
        <w:tc>
          <w:tcPr>
            <w:tcW w:w="3259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Планируется в 2024 году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cs="Arial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Облицовка плиткой (Юниоры)</w:t>
            </w:r>
          </w:p>
        </w:tc>
        <w:tc>
          <w:tcPr>
            <w:tcW w:w="3543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firstLine="34"/>
              <w:jc w:val="left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cs="Arial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АУ «Сургутский политехнический колледж»</w:t>
            </w:r>
          </w:p>
        </w:tc>
        <w:tc>
          <w:tcPr>
            <w:tcW w:w="3259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Планируется в 2024 году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21</w:t>
            </w:r>
          </w:p>
        </w:tc>
        <w:tc>
          <w:tcPr>
            <w:tcW w:w="2410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cs="Arial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Разработка компьютерных игр и мультимедийных приложений (Юниоры)</w:t>
            </w:r>
          </w:p>
        </w:tc>
        <w:tc>
          <w:tcPr>
            <w:tcW w:w="3543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cs="Arial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БУ «Советский политехнический колледж»</w:t>
            </w:r>
          </w:p>
        </w:tc>
        <w:tc>
          <w:tcPr>
            <w:tcW w:w="3259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Планируется в 2024 году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22</w:t>
            </w:r>
          </w:p>
        </w:tc>
        <w:tc>
          <w:tcPr>
            <w:tcW w:w="2410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cs="Arial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Разработка решений с использованием блокчейн технологий (Юниоры)</w:t>
            </w:r>
          </w:p>
        </w:tc>
        <w:tc>
          <w:tcPr>
            <w:tcW w:w="3543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cs="Arial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АНПОО «Сургутский институт экономики, управления и права»</w:t>
            </w:r>
          </w:p>
        </w:tc>
        <w:tc>
          <w:tcPr>
            <w:tcW w:w="3259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Планируется в 2024 году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410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cs="Arial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Реверсивный инжиниринг (Юниоры)</w:t>
            </w:r>
          </w:p>
        </w:tc>
        <w:tc>
          <w:tcPr>
            <w:tcW w:w="3543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cs="Arial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АУ «Сургутский политехнический колледж»</w:t>
            </w:r>
          </w:p>
        </w:tc>
        <w:tc>
          <w:tcPr>
            <w:tcW w:w="3259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Планируется в 2024 году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24</w:t>
            </w:r>
          </w:p>
        </w:tc>
        <w:tc>
          <w:tcPr>
            <w:tcW w:w="2410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/>
                <w:highlight w:val="none"/>
                <w:lang w:eastAsia="ru-RU"/>
              </w:rPr>
            </w:pPr>
            <w:r>
              <w:rPr>
                <w:rFonts w:eastAsia="Times New Roman" w:cs="Arial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Технологии информационного моделирования BIM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cs="Arial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(2 конкурсанта)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cs="Arial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(Юниоры)</w:t>
            </w:r>
          </w:p>
        </w:tc>
        <w:tc>
          <w:tcPr>
            <w:tcW w:w="3543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cs="Arial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АУ «Сургутский политехнический колледж»</w:t>
            </w:r>
          </w:p>
        </w:tc>
        <w:tc>
          <w:tcPr>
            <w:tcW w:w="3259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Планируется в 2024 году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25</w:t>
            </w:r>
          </w:p>
        </w:tc>
        <w:tc>
          <w:tcPr>
            <w:tcW w:w="2410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cs="Arial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Фотография (Юниоры)</w:t>
            </w:r>
          </w:p>
        </w:tc>
        <w:tc>
          <w:tcPr>
            <w:tcW w:w="3543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cs="Arial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АНПОО «Сургутский институт экономики, управления и права»</w:t>
            </w:r>
          </w:p>
        </w:tc>
        <w:tc>
          <w:tcPr>
            <w:tcW w:w="3259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Планируется в 2024 году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Autospacing="0" w:before="0" w:afterAutospacing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-">
    <w:name w:val="Hyperlink"/>
    <w:uiPriority w:val="99"/>
    <w:unhideWhenUsed/>
    <w:rPr>
      <w:color w:val="0000FF" w:themeColor="hyperlink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Style6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7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Style8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Lucida Sans"/>
    </w:rPr>
  </w:style>
  <w:style w:type="paragraph" w:styleId="Style12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val="4F81BD" w:themeColor="accent1"/>
      <w:sz w:val="18"/>
      <w:szCs w:val="18"/>
    </w:rPr>
  </w:style>
  <w:style w:type="paragraph" w:styleId="Style13">
    <w:name w:val="Указатель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Autospacing="0" w:before="0" w:afterAutospacing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4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tyle15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160"/>
      <w:ind w:left="720" w:right="720" w:hanging="0"/>
    </w:pPr>
    <w:rPr>
      <w:i/>
    </w:rPr>
  </w:style>
  <w:style w:type="paragraph" w:styleId="Style16">
    <w:name w:val="Колонтитул"/>
    <w:basedOn w:val="Normal"/>
    <w:qFormat/>
    <w:pPr/>
    <w:rPr/>
  </w:style>
  <w:style w:type="paragraph" w:styleId="Style17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Style18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Style19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Style20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11">
    <w:name w:val="TOC 1"/>
    <w:basedOn w:val="Normal"/>
    <w:uiPriority w:val="39"/>
    <w:unhideWhenUsed/>
    <w:pPr>
      <w:spacing w:before="0" w:after="57"/>
      <w:ind w:left="0" w:right="0" w:hanging="0"/>
    </w:pPr>
    <w:rPr/>
  </w:style>
  <w:style w:type="paragraph" w:styleId="21">
    <w:name w:val="TOC 2"/>
    <w:basedOn w:val="Normal"/>
    <w:uiPriority w:val="39"/>
    <w:unhideWhenUsed/>
    <w:pPr>
      <w:spacing w:before="0" w:after="57"/>
      <w:ind w:left="283" w:right="0" w:hanging="0"/>
    </w:pPr>
    <w:rPr/>
  </w:style>
  <w:style w:type="paragraph" w:styleId="31">
    <w:name w:val="TOC 3"/>
    <w:basedOn w:val="Normal"/>
    <w:uiPriority w:val="39"/>
    <w:unhideWhenUsed/>
    <w:pPr>
      <w:spacing w:before="0" w:after="57"/>
      <w:ind w:left="567" w:right="0" w:hanging="0"/>
    </w:pPr>
    <w:rPr/>
  </w:style>
  <w:style w:type="paragraph" w:styleId="41">
    <w:name w:val="TOC 4"/>
    <w:basedOn w:val="Normal"/>
    <w:uiPriority w:val="39"/>
    <w:unhideWhenUsed/>
    <w:pPr>
      <w:spacing w:before="0" w:after="57"/>
      <w:ind w:left="850" w:right="0" w:hanging="0"/>
    </w:pPr>
    <w:rPr/>
  </w:style>
  <w:style w:type="paragraph" w:styleId="51">
    <w:name w:val="TOC 5"/>
    <w:basedOn w:val="Normal"/>
    <w:uiPriority w:val="39"/>
    <w:unhideWhenUsed/>
    <w:pPr>
      <w:spacing w:before="0" w:after="57"/>
      <w:ind w:left="1134" w:right="0" w:hanging="0"/>
    </w:pPr>
    <w:rPr/>
  </w:style>
  <w:style w:type="paragraph" w:styleId="61">
    <w:name w:val="TOC 6"/>
    <w:basedOn w:val="Normal"/>
    <w:uiPriority w:val="39"/>
    <w:unhideWhenUsed/>
    <w:pPr>
      <w:spacing w:before="0" w:after="57"/>
      <w:ind w:left="1417" w:right="0" w:hanging="0"/>
    </w:pPr>
    <w:rPr/>
  </w:style>
  <w:style w:type="paragraph" w:styleId="71">
    <w:name w:val="TOC 7"/>
    <w:basedOn w:val="Normal"/>
    <w:uiPriority w:val="39"/>
    <w:unhideWhenUsed/>
    <w:pPr>
      <w:spacing w:before="0" w:after="57"/>
      <w:ind w:left="1701" w:right="0" w:hanging="0"/>
    </w:pPr>
    <w:rPr/>
  </w:style>
  <w:style w:type="paragraph" w:styleId="81">
    <w:name w:val="TOC 8"/>
    <w:basedOn w:val="Normal"/>
    <w:uiPriority w:val="39"/>
    <w:unhideWhenUsed/>
    <w:pPr>
      <w:spacing w:before="0" w:after="57"/>
      <w:ind w:left="1984" w:right="0" w:hanging="0"/>
    </w:pPr>
    <w:rPr/>
  </w:style>
  <w:style w:type="paragraph" w:styleId="91">
    <w:name w:val="TOC 9"/>
    <w:basedOn w:val="Normal"/>
    <w:uiPriority w:val="39"/>
    <w:unhideWhenUsed/>
    <w:pPr>
      <w:spacing w:before="0" w:after="57"/>
      <w:ind w:left="2268" w:right="0" w:hanging="0"/>
    </w:pPr>
    <w:rPr/>
  </w:style>
  <w:style w:type="paragraph" w:styleId="Style21">
    <w:name w:val="Index Heading"/>
    <w:basedOn w:val="Style9"/>
    <w:pPr/>
    <w:rPr/>
  </w:style>
  <w:style w:type="paragraph" w:styleId="Style22">
    <w:name w:val="TOC Heading"/>
    <w:uiPriority w:val="39"/>
    <w:unhideWhenUsed/>
    <w:pPr>
      <w:widowControl/>
      <w:bidi w:val="0"/>
      <w:spacing w:lineRule="auto" w:line="259" w:beforeAutospacing="0" w:before="0" w:afterAutospacing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Autospacing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LibreOffice/7.5.2.2$Windows_X86_64 LibreOffice_project/53bb9681a964705cf672590721dbc85eb4d0c3a2</Application>
  <AppVersion>15.0000</AppVersion>
  <Pages>2</Pages>
  <Words>387</Words>
  <Characters>3012</Characters>
  <CharactersWithSpaces>3279</CharactersWithSpaces>
  <Paragraphs>126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2023-10-04T10:31:00Z</dcterms:created>
  <dc:creator>Елена Владимировна Игнатенко</dc:creator>
  <dc:description/>
  <dc:language>ru-RU</dc:language>
  <cp:lastModifiedBy/>
  <dcterms:modified xsi:type="dcterms:W3CDTF">2023-10-10T05:59:22Z</dcterms:modified>
  <cp:revision>6</cp:revision>
  <dc:subject/>
  <dc:title/>
</cp:coreProperties>
</file>