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eastAsia="ru-RU"/>
        </w:rPr>
        <w:t xml:space="preserve">Приложение </w:t>
      </w:r>
      <w:r>
        <w:rPr>
          <w:rFonts w:eastAsia="Times New Roman" w:cs="Times New Roman" w:ascii="Times New Roman" w:hAnsi="Times New Roman"/>
          <w:color w:val="000000"/>
          <w:sz w:val="24"/>
          <w:szCs w:val="24"/>
          <w:lang w:val="en-US" w:eastAsia="ru-RU"/>
        </w:rPr>
        <w:t>2</w:t>
      </w:r>
    </w:p>
    <w:p>
      <w:pPr>
        <w:pStyle w:val="Normal"/>
        <w:spacing w:lineRule="auto" w:line="240" w:before="0" w:after="0"/>
        <w:jc w:val="right"/>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eastAsia="Times New Roman" w:cs="Times New Roman"/>
          <w:b/>
          <w:color w:val="000000"/>
          <w:sz w:val="24"/>
          <w:szCs w:val="24"/>
          <w:lang w:eastAsia="ru-RU"/>
        </w:rPr>
      </w:pPr>
      <w:bookmarkStart w:id="0" w:name="_GoBack"/>
      <w:r>
        <w:rPr>
          <w:rFonts w:eastAsia="Times New Roman" w:cs="Times New Roman" w:ascii="Times New Roman" w:hAnsi="Times New Roman"/>
          <w:b/>
          <w:color w:val="000000"/>
          <w:sz w:val="24"/>
          <w:szCs w:val="24"/>
          <w:lang w:eastAsia="ru-RU"/>
        </w:rPr>
        <w:t xml:space="preserve">Алгоритм подготовки к участию </w:t>
      </w:r>
    </w:p>
    <w:p>
      <w:pPr>
        <w:pStyle w:val="Normal"/>
        <w:spacing w:lineRule="auto" w:line="240" w:before="0" w:after="0"/>
        <w:jc w:val="center"/>
        <w:rPr>
          <w:rFonts w:ascii="Times New Roman" w:hAnsi="Times New Roman" w:eastAsia="Times New Roman" w:cs="Times New Roman"/>
          <w:b/>
          <w:color w:val="000000"/>
          <w:sz w:val="24"/>
          <w:szCs w:val="24"/>
          <w:lang w:eastAsia="ru-RU"/>
        </w:rPr>
      </w:pPr>
      <w:bookmarkStart w:id="1" w:name="_GoBack"/>
      <w:r>
        <w:rPr>
          <w:rFonts w:eastAsia="Times New Roman" w:cs="Times New Roman" w:ascii="Times New Roman" w:hAnsi="Times New Roman"/>
          <w:b/>
          <w:color w:val="000000"/>
          <w:sz w:val="24"/>
          <w:szCs w:val="24"/>
          <w:lang w:eastAsia="ru-RU"/>
        </w:rPr>
        <w:t>в Региональном этапе чемпионата профессионального мастерства «Профессионалы» в категории «Юниоры»</w:t>
      </w:r>
      <w:bookmarkEnd w:id="1"/>
    </w:p>
    <w:p>
      <w:pPr>
        <w:pStyle w:val="Normal"/>
        <w:spacing w:before="0" w:after="0"/>
        <w:jc w:val="center"/>
        <w:rPr>
          <w:rFonts w:ascii="Times New Roman" w:hAnsi="Times New Roman" w:eastAsia="Times New Roman" w:cs="Times New Roman"/>
          <w:b/>
          <w:color w:val="000000"/>
          <w:sz w:val="12"/>
          <w:szCs w:val="12"/>
          <w:lang w:eastAsia="ru-RU"/>
        </w:rPr>
      </w:pPr>
      <w:r>
        <w:rPr>
          <w:rFonts w:eastAsia="Times New Roman" w:cs="Times New Roman" w:ascii="Times New Roman" w:hAnsi="Times New Roman"/>
          <w:b/>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Знакомство и изучение нормативно-правовых и официальных документов проведения Чемпионата по профессиональному мастерству «Профессионалы» (категория «Юниоры») в Ханты-Мансийском автономном округе – Югре</w:t>
        <w:br/>
        <w:t>(далее по тексту – Чемпионат).</w:t>
      </w:r>
    </w:p>
    <w:p>
      <w:pPr>
        <w:pStyle w:val="ListParagraph"/>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Разработка положения об участии в Чемпионате профессионального мастерства «Профессионалы» в категории «Юниоры» на уровне муниципальных образований (внутренний отбор). В положении должна быть указана информация</w:t>
        <w:br/>
        <w:t>о датах проведения внутреннего отбора для определения на конкурсной основе конкурсантов от общеобразовательных учреждений для участия в Региональном этапе Чемпионата.</w:t>
      </w:r>
    </w:p>
    <w:p>
      <w:pPr>
        <w:pStyle w:val="ListParagraph"/>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Определение лиц, ответственных за взаимодействие с Региональным координационным центром Ханты-Мансийского автономного округа – Югры</w:t>
        <w:br/>
        <w:t>(далее – Региональный оператор), от общеобразовательных учреждений округа</w:t>
        <w:br/>
        <w:t>по вопросам участия в чемпионатном движении.</w:t>
      </w:r>
    </w:p>
    <w:p>
      <w:pPr>
        <w:pStyle w:val="ListParagraph"/>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Утверждение перечня компетенций (из рекомендованных Региональным оператором) для внутреннего отбора конкурсантов.</w:t>
      </w:r>
    </w:p>
    <w:p>
      <w:pPr>
        <w:pStyle w:val="ListParagraph"/>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Ознакомление с конкурсными заданиями, техническими описаниями, инфраструктурными листами, примерными планами застройки по компетенциям Чемпионата на странице сайта Федерального государственного бюджетного образовательного учреждения дополнительного профессионального образования «Институт развития профессионального образования» (Федеральный оператор). Документация размещена  по ссылке </w:t>
      </w:r>
      <w:hyperlink r:id="rId2" w:tgtFrame="https://disk.yandex.ru/d/3i7jWYUNz9ClTw">
        <w:r>
          <w:rPr>
            <w:rStyle w:val="-"/>
            <w:rFonts w:eastAsia="Times New Roman" w:cs="Times New Roman" w:ascii="Times New Roman" w:hAnsi="Times New Roman"/>
            <w:sz w:val="24"/>
            <w:szCs w:val="24"/>
            <w:lang w:eastAsia="ru-RU"/>
          </w:rPr>
          <w:t>https://disk.yandex.ru/d/3i7jWYUNz9ClTw</w:t>
        </w:r>
      </w:hyperlink>
      <w:r>
        <w:rPr/>
        <w:t>.</w:t>
      </w:r>
    </w:p>
    <w:p>
      <w:pPr>
        <w:pStyle w:val="ListParagraph"/>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Проведение внутреннего отбора.</w:t>
      </w:r>
    </w:p>
    <w:p>
      <w:pPr>
        <w:pStyle w:val="ListParagraph"/>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Заполнение и направление Региональному оператору заявок на участие конкурсантов и экспертов-наставников, согласно формы, которая будет направлена Региональным оператором в муниципальные образования округа для последующего согласования участников с Организатором Чемпионата.</w:t>
      </w:r>
    </w:p>
    <w:p>
      <w:pPr>
        <w:pStyle w:val="ListParagraph"/>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Регистрация экспертов-наставников и конкурсантов в цифровой платформе чемпионата (ЦПЧ). Конкурсанты и эксперты-наставники обязаны заполнить свой профиль в ЦПЧ до начала Регионального этап Чемпионата. Инструкция</w:t>
        <w:br/>
        <w:t>по заполнению профиля пользователя в ЦПЧ размещена по ссылке:</w:t>
      </w:r>
      <w:r>
        <w:rPr>
          <w:rFonts w:cs="Times New Roman" w:ascii="Times New Roman" w:hAnsi="Times New Roman"/>
          <w:sz w:val="24"/>
          <w:szCs w:val="24"/>
        </w:rPr>
        <w:t xml:space="preserve"> </w:t>
      </w:r>
      <w:hyperlink r:id="rId3" w:tgtFrame="https://surpk.ru/rkc/sections-documents?id=107">
        <w:r>
          <w:rPr>
            <w:rStyle w:val="-"/>
            <w:rFonts w:eastAsia="Times New Roman" w:cs="Times New Roman" w:ascii="Times New Roman" w:hAnsi="Times New Roman"/>
            <w:sz w:val="24"/>
            <w:szCs w:val="24"/>
            <w:lang w:eastAsia="ru-RU"/>
          </w:rPr>
          <w:t>https://surpk.ru/rkc/sections-documents?id=107</w:t>
        </w:r>
      </w:hyperlink>
      <w:r>
        <w:rPr/>
        <w:t>.</w:t>
      </w:r>
    </w:p>
    <w:p>
      <w:pPr>
        <w:pStyle w:val="ListParagraph"/>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Размещение информации об участии в Чемпионате на новостной ленте общеобразовательного учреждения.</w:t>
      </w:r>
    </w:p>
    <w:p>
      <w:pPr>
        <w:pStyle w:val="ListParagraph"/>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ListParagraph"/>
        <w:numPr>
          <w:ilvl w:val="0"/>
          <w:numId w:val="1"/>
        </w:numPr>
        <w:spacing w:lineRule="auto" w:line="240" w:before="0" w:after="0"/>
        <w:ind w:left="0" w:right="0" w:firstLine="709"/>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По всем возникающим вопросам обращаться в Региональный координационный центр Ханты-Мансийского автономного округа – Югры (контактный телефон: 8(3462)206-940 доб.500, доб.501, доб.518) </w:t>
      </w:r>
    </w:p>
    <w:p>
      <w:pPr>
        <w:pStyle w:val="Normal"/>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сайт АУ «Сургутский политехнический колледж»/Вкладка РКЦ/раздел  Региональные чемпионаты ХМАО по ссылке: </w:t>
      </w:r>
      <w:hyperlink r:id="rId4" w:tgtFrame="https://surpk.ru/rkc/index">
        <w:r>
          <w:rPr>
            <w:rStyle w:val="-"/>
            <w:rFonts w:eastAsia="Times New Roman" w:cs="Times New Roman" w:ascii="Times New Roman" w:hAnsi="Times New Roman"/>
            <w:sz w:val="24"/>
            <w:szCs w:val="24"/>
            <w:lang w:eastAsia="ru-RU"/>
          </w:rPr>
          <w:t>https://surpk.ru/rkc/index</w:t>
        </w:r>
      </w:hyperlink>
    </w:p>
    <w:p>
      <w:pPr>
        <w:pStyle w:val="ListParagraph"/>
        <w:spacing w:lineRule="auto" w:line="240" w:before="0" w:after="0"/>
        <w:ind w:left="0" w:right="0" w:firstLine="709"/>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ListParagraph"/>
        <w:spacing w:lineRule="auto" w:line="240" w:before="0" w:after="0"/>
        <w:contextualSpacing/>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ListParagraph"/>
        <w:tabs>
          <w:tab w:val="clear" w:pos="708"/>
          <w:tab w:val="left" w:pos="284" w:leader="none"/>
        </w:tabs>
        <w:spacing w:lineRule="auto" w:line="240" w:before="0" w:after="0"/>
        <w:ind w:left="0" w:hanging="0"/>
        <w:contextualSpacing/>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Нормативно-правовые и официальные документы </w:t>
      </w:r>
    </w:p>
    <w:p>
      <w:pPr>
        <w:pStyle w:val="ListParagraph"/>
        <w:tabs>
          <w:tab w:val="clear" w:pos="708"/>
          <w:tab w:val="left" w:pos="284" w:leader="none"/>
        </w:tabs>
        <w:spacing w:lineRule="auto" w:line="240" w:before="0" w:after="0"/>
        <w:ind w:left="0" w:hanging="0"/>
        <w:contextualSpacing/>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проведения Чемпионата по профессиональному мастерству «Профессионалы» (категория «Юниоры») </w:t>
      </w:r>
    </w:p>
    <w:p>
      <w:pPr>
        <w:pStyle w:val="ListParagraph"/>
        <w:tabs>
          <w:tab w:val="clear" w:pos="708"/>
          <w:tab w:val="left" w:pos="284" w:leader="none"/>
        </w:tabs>
        <w:spacing w:lineRule="auto" w:line="240" w:before="0" w:after="0"/>
        <w:ind w:left="0" w:hanging="0"/>
        <w:contextualSpacing/>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в Ханты-Мансийском автономном округе – Югре</w:t>
      </w:r>
    </w:p>
    <w:p>
      <w:pPr>
        <w:pStyle w:val="ListParagraph"/>
        <w:tabs>
          <w:tab w:val="clear" w:pos="708"/>
          <w:tab w:val="left" w:pos="284" w:leader="none"/>
        </w:tabs>
        <w:spacing w:lineRule="auto" w:line="240" w:before="0" w:after="0"/>
        <w:ind w:left="0" w:hanging="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Концепция Всероссийского чемпионатного движения по профессиональному мастерству (утверждена Организационным комитетом Всероссийского чемпионатного движения по профессиональному мастерству (протокол от «06» Февраля 2023 г.</w:t>
        <w:br/>
        <w:t xml:space="preserve">№ 1/2023) в редакции (протокол от «11» мая 2023 г. № 4/2023) </w:t>
      </w:r>
      <w:hyperlink r:id="rId5"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Положение о Всероссийском чемпионатном движении по профессиональному мастерству (утверждено организационным комитетом Всероссийского чемпионатного движения по профессиональному мастерству (протокол от «6» февраля 2023 г. № 1/2023)</w:t>
      </w:r>
      <w:r>
        <w:rPr>
          <w:rFonts w:cs="Times New Roman" w:ascii="Times New Roman" w:hAnsi="Times New Roman"/>
          <w:sz w:val="24"/>
          <w:szCs w:val="24"/>
        </w:rPr>
        <w:t xml:space="preserve"> </w:t>
      </w:r>
      <w:r>
        <w:rPr>
          <w:rFonts w:eastAsia="Times New Roman" w:cs="Times New Roman" w:ascii="Times New Roman" w:hAnsi="Times New Roman"/>
          <w:color w:val="000000"/>
          <w:sz w:val="24"/>
          <w:szCs w:val="24"/>
          <w:lang w:eastAsia="ru-RU"/>
        </w:rPr>
        <w:t xml:space="preserve">в редакции (протокол от «9» марта 2023 г. № 2/2023) </w:t>
      </w:r>
      <w:hyperlink r:id="rId6"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Инструкция по организации и проведению регионального этапа Чемпионата по профессиональному мастерству «Профессионалы» и Чемпионата высоких технологий субъекта Российской Федерации в 2023 году (приложение к положению</w:t>
        <w:br/>
        <w:t xml:space="preserve">о Всероссийском Чемпионатном движении по профессиональному мастерству, утвержденного организационным комитетом Всероссийского чемпионатного движения по профессиональному мастерству (протокол от «6» февраля 2023 г. № 1/2023) </w:t>
      </w:r>
      <w:hyperlink r:id="rId7"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Организационные особенности и принципы обеспечения всероссийского чемпионатного движения по профессиональному мастерству </w:t>
      </w:r>
      <w:hyperlink r:id="rId8"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Рекомендуемый Перечень компетенций для проведения региональных этапов Чемпионата по профессиональному мастерству «Профессионалы» и Чемпионата высоких технологий в 2023 году (утвержден</w:t>
      </w:r>
      <w:r>
        <w:rPr>
          <w:rFonts w:cs="Times New Roman" w:ascii="Times New Roman" w:hAnsi="Times New Roman"/>
          <w:sz w:val="24"/>
          <w:szCs w:val="24"/>
        </w:rPr>
        <w:t xml:space="preserve"> </w:t>
      </w:r>
      <w:r>
        <w:rPr>
          <w:rFonts w:eastAsia="Times New Roman" w:cs="Times New Roman" w:ascii="Times New Roman" w:hAnsi="Times New Roman"/>
          <w:color w:val="000000"/>
          <w:sz w:val="24"/>
          <w:szCs w:val="24"/>
          <w:lang w:eastAsia="ru-RU"/>
        </w:rPr>
        <w:t xml:space="preserve">Организационным комитетом Всероссийского чемпионатного движения по профессиональному мастерству (протокол от «6» февраля 2023 г. № 1/2023) </w:t>
      </w:r>
      <w:hyperlink r:id="rId9"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Перечень компетенций для проведения региональных этапов Чемпионата</w:t>
        <w:br/>
        <w:t>по профессиональному мастерству «Профессионалы» (категория «Юниоры»)</w:t>
        <w:br/>
        <w:t xml:space="preserve">в 2023 году (утвержден Организационным комитетом Всероссийского чемпионатного движения по профессиональному мастерству (протокол от «6» февраля 2023 г. № 1/2023) </w:t>
      </w:r>
      <w:hyperlink r:id="rId10"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Инструкция по организации и проведению регионального этапа Чемпионата по профессиональному мастерству «Профессионалы» и Чемпионата высоких технологий субъекта Российской Федерации в 2023 году (приложение </w:t>
      </w:r>
      <w:r>
        <w:rPr>
          <w:rFonts w:cs="Times New Roman" w:ascii="Times New Roman" w:hAnsi="Times New Roman"/>
          <w:sz w:val="24"/>
          <w:szCs w:val="24"/>
        </w:rPr>
        <w:t xml:space="preserve">к </w:t>
      </w:r>
      <w:r>
        <w:rPr>
          <w:rFonts w:eastAsia="Times New Roman" w:cs="Times New Roman" w:ascii="Times New Roman" w:hAnsi="Times New Roman"/>
          <w:color w:val="000000"/>
          <w:sz w:val="24"/>
          <w:szCs w:val="24"/>
          <w:lang w:eastAsia="ru-RU"/>
        </w:rPr>
        <w:t>положению</w:t>
        <w:br/>
        <w:t xml:space="preserve">о Всероссийском Чемпионатном движении по профессиональному мастерству, утвержденного организационным комитетом Всероссийского чемпионатного движения по профессиональному мастерству (протокол от «6» Февраля 2023 г. № 1/2023) </w:t>
      </w:r>
      <w:hyperlink r:id="rId11" w:tgtFrame="https://surpk.ru/rkc/sections-documents?id=83">
        <w:r>
          <w:rPr>
            <w:rStyle w:val="-"/>
            <w:rFonts w:eastAsia="Times New Roman" w:cs="Times New Roman" w:ascii="Times New Roman" w:hAnsi="Times New Roman"/>
            <w:sz w:val="24"/>
            <w:szCs w:val="24"/>
            <w:lang w:eastAsia="ru-RU"/>
          </w:rPr>
          <w:t>https://surpk.ru/rkc/sections-documents?id=83</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Конкурсная документация компетенций региональных этапов</w:t>
        <w:br/>
        <w:t xml:space="preserve">по профессиональному мастерству «Профессионалы» (категория «Юниоры») </w:t>
      </w:r>
      <w:hyperlink r:id="rId12" w:tgtFrame="https://pro.firpo.ru/kompetentsi/">
        <w:r>
          <w:rPr>
            <w:rStyle w:val="-"/>
            <w:rFonts w:eastAsia="Times New Roman" w:cs="Times New Roman" w:ascii="Times New Roman" w:hAnsi="Times New Roman"/>
            <w:sz w:val="24"/>
            <w:szCs w:val="24"/>
            <w:lang w:eastAsia="ru-RU"/>
          </w:rPr>
          <w:t>https://pro.firpo.ru/kompetentsi/</w:t>
        </w:r>
      </w:hyperlink>
      <w:r>
        <w:rPr>
          <w:rFonts w:eastAsia="Times New Roman" w:cs="Times New Roman" w:ascii="Times New Roman" w:hAnsi="Times New Roman"/>
          <w:color w:val="000000"/>
          <w:sz w:val="24"/>
          <w:szCs w:val="24"/>
          <w:lang w:eastAsia="ru-RU"/>
        </w:rPr>
        <w:t>;</w:t>
      </w:r>
    </w:p>
    <w:p>
      <w:pPr>
        <w:pStyle w:val="ListParagraph"/>
        <w:ind w:left="0" w:right="0" w:firstLine="709"/>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Положение об организации и проведении Регионального этапа Чемпионата по профессиональному мастерству «Профессионалы» в Ханты-Мансийском автономном округе – Югре (утверждено организационным комитетом Регионального этапа чемпионатного движения по профессиональному мастерству «Профессионалы»</w:t>
        <w:br/>
        <w:t>в Ханты-Мансийском автономном округе – Югре (протокол от 24 марта 2023 г.)</w:t>
      </w:r>
      <w:r>
        <w:rPr>
          <w:rFonts w:cs="Times New Roman" w:ascii="Times New Roman" w:hAnsi="Times New Roman"/>
          <w:sz w:val="24"/>
          <w:szCs w:val="24"/>
        </w:rPr>
        <w:t xml:space="preserve"> </w:t>
      </w:r>
      <w:hyperlink r:id="rId13" w:tgtFrame="https://surpk.ru/rkc/sections-documents?id=98">
        <w:r>
          <w:rPr>
            <w:rStyle w:val="-"/>
            <w:rFonts w:eastAsia="Times New Roman" w:cs="Times New Roman" w:ascii="Times New Roman" w:hAnsi="Times New Roman"/>
            <w:sz w:val="24"/>
            <w:szCs w:val="24"/>
            <w:lang w:eastAsia="ru-RU"/>
          </w:rPr>
          <w:t>https://surpk.ru/rkc/sections-documents?id=98</w:t>
        </w:r>
      </w:hyperlink>
      <w:r>
        <w:rPr>
          <w:rFonts w:eastAsia="Times New Roman" w:cs="Times New Roman" w:ascii="Times New Roman" w:hAnsi="Times New Roman"/>
          <w:color w:val="000000"/>
          <w:sz w:val="24"/>
          <w:szCs w:val="24"/>
          <w:lang w:eastAsia="ru-RU"/>
        </w:rPr>
        <w:t>;</w:t>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12"/>
          <w:szCs w:val="12"/>
        </w:rPr>
      </w:pPr>
      <w:r>
        <w:rPr>
          <w:rFonts w:eastAsia="Times New Roman" w:cs="Times New Roman" w:ascii="Times New Roman" w:hAnsi="Times New Roman"/>
          <w:color w:val="000000"/>
          <w:sz w:val="12"/>
          <w:szCs w:val="12"/>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highlight w:val="none"/>
          <w:lang w:eastAsia="ru-RU"/>
        </w:rPr>
      </w:pPr>
      <w:r>
        <w:rPr>
          <w:rFonts w:eastAsia="Times New Roman" w:cs="Times New Roman" w:ascii="Times New Roman" w:hAnsi="Times New Roman"/>
          <w:color w:val="000000"/>
          <w:sz w:val="24"/>
          <w:szCs w:val="24"/>
          <w:lang w:eastAsia="ru-RU"/>
        </w:rPr>
        <w:t>Инструкция по заполнению профиля пользователя на цифровой платформе чемпионата (eSim)</w:t>
      </w:r>
      <w:r>
        <w:rPr>
          <w:rFonts w:cs="Times New Roman" w:ascii="Times New Roman" w:hAnsi="Times New Roman"/>
          <w:sz w:val="24"/>
          <w:szCs w:val="24"/>
        </w:rPr>
        <w:t xml:space="preserve"> </w:t>
      </w:r>
      <w:hyperlink r:id="rId14" w:tgtFrame="https://surpk.ru/rkc/sections-documents?id=107">
        <w:r>
          <w:rPr>
            <w:rStyle w:val="-"/>
            <w:rFonts w:eastAsia="Times New Roman" w:cs="Times New Roman" w:ascii="Times New Roman" w:hAnsi="Times New Roman"/>
            <w:sz w:val="24"/>
            <w:szCs w:val="24"/>
            <w:lang w:eastAsia="ru-RU"/>
          </w:rPr>
          <w:t>https://surpk.ru/rkc/sections-documents?id=107</w:t>
        </w:r>
      </w:hyperlink>
      <w:r>
        <w:rPr>
          <w:rFonts w:eastAsia="Times New Roman" w:cs="Times New Roman" w:ascii="Times New Roman" w:hAnsi="Times New Roman"/>
          <w:color w:val="000000"/>
          <w:sz w:val="24"/>
          <w:szCs w:val="24"/>
          <w:lang w:eastAsia="ru-RU"/>
        </w:rPr>
        <w:t>;</w:t>
      </w:r>
    </w:p>
    <w:p>
      <w:pPr>
        <w:pStyle w:val="ListParagraph"/>
        <w:tabs>
          <w:tab w:val="clear" w:pos="708"/>
          <w:tab w:val="left" w:pos="284" w:leader="none"/>
        </w:tabs>
        <w:spacing w:lineRule="auto" w:line="240" w:before="0" w:after="0"/>
        <w:ind w:left="0" w:right="0" w:firstLine="709"/>
        <w:contextualSpacing/>
        <w:jc w:val="both"/>
        <w:rPr>
          <w:rFonts w:ascii="Times New Roman" w:hAnsi="Times New Roman" w:eastAsia="Times New Roman" w:cs="Times New Roman"/>
          <w:color w:val="000000"/>
          <w:sz w:val="12"/>
          <w:szCs w:val="12"/>
          <w:lang w:eastAsia="ru-RU"/>
        </w:rPr>
      </w:pPr>
      <w:r>
        <w:rPr>
          <w:rFonts w:eastAsia="Times New Roman" w:cs="Times New Roman" w:ascii="Times New Roman" w:hAnsi="Times New Roman"/>
          <w:color w:val="000000"/>
          <w:sz w:val="12"/>
          <w:szCs w:val="12"/>
          <w:lang w:eastAsia="ru-RU"/>
        </w:rPr>
      </w:r>
    </w:p>
    <w:p>
      <w:pPr>
        <w:pStyle w:val="Normal"/>
        <w:tabs>
          <w:tab w:val="clear" w:pos="708"/>
          <w:tab w:val="left" w:pos="284" w:leader="none"/>
        </w:tabs>
        <w:spacing w:lineRule="auto" w:line="240" w:before="0" w:after="0"/>
        <w:ind w:left="0" w:right="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Перечень компетенций для проведения регионального этапа Чемпионата по профессиональному мастерству «Профессионалы» (категория «Юниоры») в Ханты-Мансийском автономном округе – Югре в 2023 году</w:t>
      </w:r>
      <w:r>
        <w:rPr>
          <w:rFonts w:cs="Times New Roman" w:ascii="Times New Roman" w:hAnsi="Times New Roman"/>
          <w:sz w:val="24"/>
          <w:szCs w:val="24"/>
        </w:rPr>
        <w:t xml:space="preserve"> </w:t>
      </w:r>
      <w:hyperlink r:id="rId15" w:tgtFrame="https://surpk.ru/rkc/sections-documents?id=85">
        <w:r>
          <w:rPr>
            <w:rStyle w:val="-"/>
            <w:rFonts w:eastAsia="Times New Roman" w:cs="Times New Roman" w:ascii="Times New Roman" w:hAnsi="Times New Roman"/>
            <w:sz w:val="24"/>
            <w:szCs w:val="24"/>
            <w:lang w:eastAsia="ru-RU"/>
          </w:rPr>
          <w:t>https://surpk.ru/rkc/sections-documents?id=85</w:t>
        </w:r>
      </w:hyperlink>
      <w:r>
        <w:rPr>
          <w:rFonts w:eastAsia="Times New Roman" w:cs="Times New Roman" w:ascii="Times New Roman" w:hAnsi="Times New Roman"/>
          <w:color w:val="000000"/>
          <w:sz w:val="24"/>
          <w:szCs w:val="24"/>
          <w:lang w:eastAsia="ru-RU"/>
        </w:rPr>
        <w:t xml:space="preserve"> </w:t>
      </w:r>
    </w:p>
    <w:sectPr>
      <w:type w:val="nextPage"/>
      <w:pgSz w:w="11906" w:h="16838"/>
      <w:pgMar w:left="1559" w:right="1276"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qFormat/>
    <w:pPr>
      <w:spacing w:lineRule="auto" w:line="240" w:beforeAutospacing="1" w:afterAutospacing="1"/>
      <w:outlineLvl w:val="2"/>
    </w:pPr>
    <w:rPr>
      <w:rFonts w:ascii="Times New Roman" w:hAnsi="Times New Roman" w:eastAsia="Times New Roman" w:cs="Times New Roman"/>
      <w:b/>
      <w:bCs/>
      <w:sz w:val="27"/>
      <w:szCs w:val="27"/>
      <w:lang w:eastAsia="ru-RU"/>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Style6">
    <w:name w:val="Footnote Reference"/>
    <w:rPr>
      <w:vertAlign w:val="superscript"/>
    </w:rPr>
  </w:style>
  <w:style w:type="character" w:styleId="EndnoteTextChar">
    <w:name w:val="Endnote Text Char"/>
    <w:uiPriority w:val="99"/>
    <w:qFormat/>
    <w:rPr>
      <w:sz w:val="20"/>
    </w:rPr>
  </w:style>
  <w:style w:type="character" w:styleId="Style7">
    <w:name w:val="Символ концевой сноски"/>
    <w:uiPriority w:val="99"/>
    <w:semiHidden/>
    <w:unhideWhenUsed/>
    <w:qFormat/>
    <w:rPr>
      <w:vertAlign w:val="superscript"/>
    </w:rPr>
  </w:style>
  <w:style w:type="character" w:styleId="Style8">
    <w:name w:val="Endnote Reference"/>
    <w:rPr>
      <w:vertAlign w:val="superscript"/>
    </w:rPr>
  </w:style>
  <w:style w:type="character" w:styleId="DefaultParagraphFont" w:default="1">
    <w:name w:val="Default Paragraph Font"/>
    <w:uiPriority w:val="1"/>
    <w:semiHidden/>
    <w:unhideWhenUsed/>
    <w:qFormat/>
    <w:rPr/>
  </w:style>
  <w:style w:type="character" w:styleId="Style9" w:customStyle="1">
    <w:name w:val="Текст выноски Знак"/>
    <w:basedOn w:val="DefaultParagraphFont"/>
    <w:uiPriority w:val="99"/>
    <w:semiHidden/>
    <w:qFormat/>
    <w:rPr>
      <w:rFonts w:ascii="Segoe UI" w:hAnsi="Segoe UI" w:cs="Segoe UI"/>
      <w:sz w:val="18"/>
      <w:szCs w:val="18"/>
    </w:rPr>
  </w:style>
  <w:style w:type="character" w:styleId="-">
    <w:name w:val="Hyperlink"/>
    <w:basedOn w:val="DefaultParagraphFont"/>
    <w:uiPriority w:val="99"/>
    <w:rPr>
      <w:color w:val="0000FF"/>
      <w:u w:val="single"/>
    </w:rPr>
  </w:style>
  <w:style w:type="character" w:styleId="31" w:customStyle="1">
    <w:name w:val="Заголовок 3 Знак"/>
    <w:basedOn w:val="DefaultParagraphFont"/>
    <w:uiPriority w:val="9"/>
    <w:qFormat/>
    <w:rPr>
      <w:rFonts w:ascii="Times New Roman" w:hAnsi="Times New Roman" w:eastAsia="Times New Roman" w:cs="Times New Roman"/>
      <w:b/>
      <w:bCs/>
      <w:sz w:val="27"/>
      <w:szCs w:val="27"/>
      <w:lang w:eastAsia="ru-RU"/>
    </w:rPr>
  </w:style>
  <w:style w:type="character" w:styleId="Mention" w:customStyle="1">
    <w:name w:val="Mention"/>
    <w:basedOn w:val="DefaultParagraphFont"/>
    <w:uiPriority w:val="99"/>
    <w:semiHidden/>
    <w:unhideWhenUsed/>
    <w:qFormat/>
    <w:rPr>
      <w:color w:val="2B579A"/>
      <w:shd w:fill="E6E6E6" w:val="clear"/>
    </w:rPr>
  </w:style>
  <w:style w:type="character" w:styleId="Style10">
    <w:name w:val="FollowedHyperlink"/>
    <w:basedOn w:val="DefaultParagraphFont"/>
    <w:uiPriority w:val="99"/>
    <w:semiHidden/>
    <w:unhideWhenUsed/>
    <w:rPr>
      <w:color w:val="954F72" w:themeColor="followedHyperlink"/>
      <w:u w:val="single"/>
    </w:rPr>
  </w:style>
  <w:style w:type="paragraph" w:styleId="Style11">
    <w:name w:val="Заголовок"/>
    <w:basedOn w:val="Normal"/>
    <w:next w:val="Style12"/>
    <w:qFormat/>
    <w:pPr>
      <w:keepNext w:val="true"/>
      <w:spacing w:before="240" w:after="120"/>
    </w:pPr>
    <w:rPr>
      <w:rFonts w:ascii="Liberation Sans" w:hAnsi="Liberation Sans" w:eastAsia="Microsoft YaHei" w:cs="Lucida Sans"/>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cs="Lucida Sans"/>
    </w:rPr>
  </w:style>
  <w:style w:type="paragraph" w:styleId="Style14">
    <w:name w:val="Caption"/>
    <w:basedOn w:val="Normal"/>
    <w:uiPriority w:val="35"/>
    <w:semiHidden/>
    <w:unhideWhenUsed/>
    <w:qFormat/>
    <w:pPr>
      <w:spacing w:lineRule="auto" w:line="276"/>
    </w:pPr>
    <w:rPr>
      <w:b/>
      <w:bCs/>
      <w:color w:val="4F81BD" w:themeColor="accent1"/>
      <w:sz w:val="18"/>
      <w:szCs w:val="18"/>
    </w:rPr>
  </w:style>
  <w:style w:type="paragraph" w:styleId="Style15">
    <w:name w:val="Указатель"/>
    <w:basedOn w:val="Normal"/>
    <w:qFormat/>
    <w:pPr>
      <w:suppressLineNumbers/>
    </w:pPr>
    <w:rPr>
      <w:rFonts w:cs="Lucida Sans"/>
    </w:rPr>
  </w:style>
  <w:style w:type="paragraph" w:styleId="NoSpacing">
    <w:name w:val="No Spacing"/>
    <w:uiPriority w:val="1"/>
    <w:qFormat/>
    <w:pPr>
      <w:widowControl/>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16">
    <w:name w:val="Title"/>
    <w:basedOn w:val="Normal"/>
    <w:uiPriority w:val="10"/>
    <w:qFormat/>
    <w:pPr>
      <w:spacing w:before="300" w:after="200"/>
      <w:contextualSpacing/>
    </w:pPr>
    <w:rPr>
      <w:sz w:val="48"/>
      <w:szCs w:val="48"/>
    </w:rPr>
  </w:style>
  <w:style w:type="paragraph" w:styleId="Style17">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left="720" w:right="720" w:hanging="0"/>
    </w:pPr>
    <w:rPr>
      <w:i/>
    </w:rPr>
  </w:style>
  <w:style w:type="paragraph" w:styleId="Style18">
    <w:name w:val="Колонтитул"/>
    <w:basedOn w:val="Normal"/>
    <w:qFormat/>
    <w:pPr/>
    <w:rPr/>
  </w:style>
  <w:style w:type="paragraph" w:styleId="Style19">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Style20">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Style21">
    <w:name w:val="Footnote Text"/>
    <w:basedOn w:val="Normal"/>
    <w:uiPriority w:val="99"/>
    <w:semiHidden/>
    <w:unhideWhenUsed/>
    <w:pPr>
      <w:spacing w:lineRule="auto" w:line="240" w:before="0" w:after="40"/>
    </w:pPr>
    <w:rPr>
      <w:sz w:val="18"/>
    </w:rPr>
  </w:style>
  <w:style w:type="paragraph" w:styleId="Style22">
    <w:name w:val="Endnote Text"/>
    <w:basedOn w:val="Normal"/>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2">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3">
    <w:name w:val="Index Heading"/>
    <w:basedOn w:val="Style11"/>
    <w:pPr/>
    <w:rPr/>
  </w:style>
  <w:style w:type="paragraph" w:styleId="Style24">
    <w:name w:val="TOC Heading"/>
    <w:uiPriority w:val="39"/>
    <w:unhideWhenUsed/>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Autospacing="0" w:after="0"/>
    </w:pPr>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ListParagraph">
    <w:name w:val="List Paragraph"/>
    <w:basedOn w:val="Normal"/>
    <w:uiPriority w:val="34"/>
    <w:qFormat/>
    <w:pPr>
      <w:spacing w:before="0" w:after="160"/>
      <w:ind w:left="720" w:hanging="0"/>
      <w:contextualSpacing/>
    </w:pPr>
    <w:rPr/>
  </w:style>
  <w:style w:type="paragraph" w:styleId="Default" w:customStyle="1">
    <w:name w:val="Default"/>
    <w:qFormat/>
    <w:pPr>
      <w:widowControl/>
      <w:bidi w:val="0"/>
      <w:spacing w:lineRule="auto" w:line="240" w:beforeAutospacing="0" w:before="0" w:afterAutospacing="0" w:after="0"/>
      <w:jc w:val="left"/>
    </w:pPr>
    <w:rPr>
      <w:rFonts w:ascii="Times New Roman" w:hAnsi="Times New Roman" w:cs="Times New Roman" w:eastAsia="Calibri"/>
      <w:color w:val="000000"/>
      <w:kern w:val="0"/>
      <w:sz w:val="24"/>
      <w:szCs w:val="24"/>
      <w:lang w:val="ru-RU" w:eastAsia="en-US" w:bidi="ar-SA"/>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isk.yandex.ru/d/3i7jWYUNz9ClTw" TargetMode="External"/><Relationship Id="rId3" Type="http://schemas.openxmlformats.org/officeDocument/2006/relationships/hyperlink" Target="https://surpk.ru/rkc/sections-documents?id=107" TargetMode="External"/><Relationship Id="rId4" Type="http://schemas.openxmlformats.org/officeDocument/2006/relationships/hyperlink" Target="https://surpk.ru/rkc/index" TargetMode="External"/><Relationship Id="rId5" Type="http://schemas.openxmlformats.org/officeDocument/2006/relationships/hyperlink" Target="https://surpk.ru/rkc/sections-documents?id=83" TargetMode="External"/><Relationship Id="rId6" Type="http://schemas.openxmlformats.org/officeDocument/2006/relationships/hyperlink" Target="https://surpk.ru/rkc/sections-documents?id=83" TargetMode="External"/><Relationship Id="rId7" Type="http://schemas.openxmlformats.org/officeDocument/2006/relationships/hyperlink" Target="https://surpk.ru/rkc/sections-documents?id=83" TargetMode="External"/><Relationship Id="rId8" Type="http://schemas.openxmlformats.org/officeDocument/2006/relationships/hyperlink" Target="https://surpk.ru/rkc/sections-documents?id=83" TargetMode="External"/><Relationship Id="rId9" Type="http://schemas.openxmlformats.org/officeDocument/2006/relationships/hyperlink" Target="https://surpk.ru/rkc/sections-documents?id=83" TargetMode="External"/><Relationship Id="rId10" Type="http://schemas.openxmlformats.org/officeDocument/2006/relationships/hyperlink" Target="https://surpk.ru/rkc/sections-documents?id=83" TargetMode="External"/><Relationship Id="rId11" Type="http://schemas.openxmlformats.org/officeDocument/2006/relationships/hyperlink" Target="https://surpk.ru/rkc/sections-documents?id=83" TargetMode="External"/><Relationship Id="rId12" Type="http://schemas.openxmlformats.org/officeDocument/2006/relationships/hyperlink" Target="https://pro.firpo.ru/kompetentsi/" TargetMode="External"/><Relationship Id="rId13" Type="http://schemas.openxmlformats.org/officeDocument/2006/relationships/hyperlink" Target="https://surpk.ru/rkc/sections-documents?id=98" TargetMode="External"/><Relationship Id="rId14" Type="http://schemas.openxmlformats.org/officeDocument/2006/relationships/hyperlink" Target="https://surpk.ru/rkc/sections-documents?id=107" TargetMode="External"/><Relationship Id="rId15" Type="http://schemas.openxmlformats.org/officeDocument/2006/relationships/hyperlink" Target="https://surpk.ru/rkc/sections-documents?id=85"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9</TotalTime>
  <Application>LibreOffice/7.5.2.2$Windows_X86_64 LibreOffice_project/53bb9681a964705cf672590721dbc85eb4d0c3a2</Application>
  <AppVersion>15.0000</AppVersion>
  <Pages>3</Pages>
  <Words>631</Words>
  <Characters>5613</Characters>
  <CharactersWithSpaces>6222</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2023-10-03T08:47:00Z</dcterms:created>
  <dc:creator>LI</dc:creator>
  <dc:description/>
  <dc:language>ru-RU</dc:language>
  <cp:lastModifiedBy/>
  <cp:lastPrinted>2023-10-11T12:04:18Z</cp:lastPrinted>
  <dcterms:modified xsi:type="dcterms:W3CDTF">2023-10-11T12:12:40Z</dcterms:modified>
  <cp:revision>44</cp:revision>
  <dc:subject/>
  <dc:title/>
</cp:coreProperties>
</file>